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639"/>
        </w:tabs>
        <w:jc w:val="left"/>
        <w:rPr>
          <w:rFonts w:hint="default" w:ascii="Arial" w:hAnsi="Arial" w:eastAsia="宋体" w:cs="Times New Roman"/>
          <w:b/>
          <w:kern w:val="0"/>
          <w:sz w:val="24"/>
          <w:szCs w:val="20"/>
          <w:lang w:val="en-US" w:eastAsia="zh-CN"/>
        </w:rPr>
      </w:pPr>
      <w:r>
        <w:rPr>
          <w:rFonts w:ascii="Arial" w:hAnsi="Arial" w:eastAsia="宋体" w:cs="Times New Roman"/>
          <w:b/>
          <w:kern w:val="0"/>
          <w:sz w:val="24"/>
          <w:szCs w:val="20"/>
          <w:lang w:val="en-GB" w:eastAsia="en-US"/>
        </w:rPr>
        <w:t>3GPP TSG-</w:t>
      </w:r>
      <w:r>
        <w:rPr>
          <w:rFonts w:ascii="Arial" w:hAnsi="Arial" w:eastAsia="宋体" w:cs="Times New Roman"/>
          <w:b/>
          <w:kern w:val="0"/>
          <w:sz w:val="24"/>
          <w:szCs w:val="20"/>
          <w:lang w:val="en-GB" w:eastAsia="en-US"/>
        </w:rPr>
        <w:fldChar w:fldCharType="begin"/>
      </w:r>
      <w:r>
        <w:rPr>
          <w:rFonts w:ascii="Arial" w:hAnsi="Arial" w:eastAsia="宋体" w:cs="Times New Roman"/>
          <w:b/>
          <w:kern w:val="0"/>
          <w:sz w:val="24"/>
          <w:szCs w:val="20"/>
          <w:lang w:val="en-GB" w:eastAsia="en-US"/>
        </w:rPr>
        <w:instrText xml:space="preserve"> DOCPROPERTY  TSG/WGRef  \* MERGEFORMAT </w:instrText>
      </w:r>
      <w:r>
        <w:rPr>
          <w:rFonts w:ascii="Arial" w:hAnsi="Arial" w:eastAsia="宋体" w:cs="Times New Roman"/>
          <w:b/>
          <w:kern w:val="0"/>
          <w:sz w:val="24"/>
          <w:szCs w:val="20"/>
          <w:lang w:val="en-GB" w:eastAsia="en-US"/>
        </w:rPr>
        <w:fldChar w:fldCharType="separate"/>
      </w:r>
      <w:r>
        <w:rPr>
          <w:rFonts w:ascii="Arial" w:hAnsi="Arial" w:eastAsia="宋体" w:cs="Times New Roman"/>
          <w:b/>
          <w:kern w:val="0"/>
          <w:sz w:val="24"/>
          <w:szCs w:val="20"/>
          <w:lang w:val="en-GB" w:eastAsia="en-US"/>
        </w:rPr>
        <w:t>WG</w:t>
      </w:r>
      <w:r>
        <w:rPr>
          <w:rFonts w:ascii="Arial" w:hAnsi="Arial" w:eastAsia="宋体" w:cs="Times New Roman"/>
          <w:b/>
          <w:kern w:val="0"/>
          <w:sz w:val="24"/>
          <w:szCs w:val="20"/>
          <w:lang w:val="en-GB" w:eastAsia="en-US"/>
        </w:rPr>
        <w:fldChar w:fldCharType="end"/>
      </w:r>
      <w:r>
        <w:rPr>
          <w:rFonts w:ascii="Arial" w:hAnsi="Arial" w:eastAsia="宋体" w:cs="Times New Roman"/>
          <w:b/>
          <w:kern w:val="0"/>
          <w:sz w:val="24"/>
          <w:szCs w:val="20"/>
          <w:lang w:val="en-GB" w:eastAsia="en-US"/>
        </w:rPr>
        <w:t xml:space="preserve"> SA2 </w:t>
      </w:r>
      <w:bookmarkStart w:id="0" w:name="DocumentFor"/>
      <w:bookmarkEnd w:id="0"/>
      <w:bookmarkStart w:id="1" w:name="Title"/>
      <w:bookmarkEnd w:id="1"/>
      <w:r>
        <w:rPr>
          <w:rFonts w:ascii="Arial" w:hAnsi="Arial" w:eastAsia="宋体" w:cs="Times New Roman"/>
          <w:b/>
          <w:kern w:val="0"/>
          <w:sz w:val="24"/>
          <w:szCs w:val="20"/>
          <w:lang w:val="en-GB" w:eastAsia="en-US"/>
        </w:rPr>
        <w:t>Meeting #S2-159</w:t>
      </w:r>
      <w:r>
        <w:rPr>
          <w:rFonts w:ascii="Arial" w:hAnsi="Arial" w:eastAsia="宋体" w:cs="Times New Roman"/>
          <w:b/>
          <w:kern w:val="0"/>
          <w:sz w:val="24"/>
          <w:szCs w:val="20"/>
          <w:lang w:val="en-GB" w:eastAsia="en-US"/>
        </w:rPr>
        <w:tab/>
      </w:r>
      <w:r>
        <w:rPr>
          <w:rFonts w:ascii="Arial" w:hAnsi="Arial" w:eastAsia="宋体" w:cs="Times New Roman"/>
          <w:b/>
          <w:kern w:val="0"/>
          <w:sz w:val="24"/>
          <w:szCs w:val="20"/>
          <w:lang w:val="en-GB" w:eastAsia="en-US"/>
        </w:rPr>
        <w:t>S2-23</w:t>
      </w:r>
      <w:r>
        <w:rPr>
          <w:rFonts w:hint="eastAsia" w:ascii="Arial" w:hAnsi="Arial" w:eastAsia="宋体" w:cs="Times New Roman"/>
          <w:b/>
          <w:kern w:val="0"/>
          <w:sz w:val="24"/>
          <w:szCs w:val="20"/>
          <w:lang w:val="en-US" w:eastAsia="zh-CN"/>
        </w:rPr>
        <w:t>10335</w:t>
      </w:r>
    </w:p>
    <w:p>
      <w:pPr>
        <w:widowControl/>
        <w:tabs>
          <w:tab w:val="right" w:pos="5103"/>
          <w:tab w:val="right" w:pos="9639"/>
        </w:tabs>
        <w:spacing w:after="120"/>
        <w:jc w:val="left"/>
        <w:outlineLvl w:val="0"/>
        <w:rPr>
          <w:rFonts w:ascii="Arial" w:hAnsi="Arial" w:eastAsia="宋体" w:cs="Times New Roman"/>
          <w:b/>
          <w:kern w:val="0"/>
          <w:sz w:val="24"/>
          <w:szCs w:val="20"/>
          <w:lang w:val="en-GB" w:eastAsia="en-US"/>
        </w:rPr>
      </w:pPr>
      <w:r>
        <w:rPr>
          <w:rFonts w:ascii="Arial" w:hAnsi="Arial" w:eastAsia="宋体" w:cs="Times New Roman"/>
          <w:b/>
          <w:kern w:val="0"/>
          <w:sz w:val="24"/>
          <w:szCs w:val="20"/>
          <w:lang w:val="en-GB" w:eastAsia="en-US"/>
        </w:rPr>
        <w:t>9 - 13 October, 2023, Xiamen, China</w:t>
      </w:r>
      <w:r>
        <w:rPr>
          <w:rFonts w:ascii="Arial" w:hAnsi="Arial" w:eastAsia="宋体" w:cs="Times New Roman"/>
          <w:b/>
          <w:kern w:val="0"/>
          <w:sz w:val="24"/>
          <w:szCs w:val="20"/>
          <w:lang w:val="en-GB" w:eastAsia="en-US"/>
        </w:rPr>
        <w:tab/>
      </w:r>
      <w:r>
        <w:rPr>
          <w:rFonts w:ascii="Arial" w:hAnsi="Arial" w:eastAsia="宋体" w:cs="Times New Roman"/>
          <w:b/>
          <w:kern w:val="0"/>
          <w:sz w:val="24"/>
          <w:szCs w:val="20"/>
          <w:lang w:val="en-GB" w:eastAsia="en-US"/>
        </w:rPr>
        <w:tab/>
      </w:r>
      <w:r>
        <w:rPr>
          <w:rFonts w:ascii="Arial" w:hAnsi="Arial" w:eastAsia="宋体" w:cs="Arial"/>
          <w:b/>
          <w:bCs/>
          <w:color w:val="0000FF"/>
          <w:kern w:val="0"/>
          <w:sz w:val="20"/>
          <w:szCs w:val="20"/>
          <w:lang w:val="en-GB" w:eastAsia="en-US"/>
        </w:rPr>
        <w:t>(revision of S2-230XXXX)</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widowControl/>
              <w:jc w:val="right"/>
              <w:rPr>
                <w:rFonts w:ascii="Arial" w:hAnsi="Arial" w:eastAsia="宋体" w:cs="Times New Roman"/>
                <w:i/>
                <w:kern w:val="0"/>
                <w:sz w:val="20"/>
                <w:szCs w:val="20"/>
                <w:lang w:val="en-GB" w:eastAsia="en-US"/>
              </w:rPr>
            </w:pPr>
            <w:r>
              <w:rPr>
                <w:rFonts w:ascii="Arial" w:hAnsi="Arial" w:eastAsia="宋体" w:cs="Times New Roman"/>
                <w:i/>
                <w:kern w:val="0"/>
                <w:sz w:val="14"/>
                <w:szCs w:val="20"/>
                <w:lang w:val="en-GB" w:eastAsia="en-US"/>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widowControl/>
              <w:jc w:val="center"/>
              <w:rPr>
                <w:rFonts w:ascii="Arial" w:hAnsi="Arial" w:eastAsia="宋体" w:cs="Times New Roman"/>
                <w:kern w:val="0"/>
                <w:sz w:val="20"/>
                <w:szCs w:val="20"/>
                <w:lang w:val="en-GB" w:eastAsia="en-US"/>
              </w:rPr>
            </w:pPr>
            <w:r>
              <w:rPr>
                <w:rFonts w:ascii="Arial" w:hAnsi="Arial" w:eastAsia="宋体" w:cs="Times New Roman"/>
                <w:b/>
                <w:kern w:val="0"/>
                <w:sz w:val="32"/>
                <w:szCs w:val="20"/>
                <w:lang w:val="en-GB"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42" w:type="dxa"/>
            <w:tcBorders>
              <w:left w:val="single" w:color="auto" w:sz="4" w:space="0"/>
            </w:tcBorders>
          </w:tcPr>
          <w:p>
            <w:pPr>
              <w:widowControl/>
              <w:jc w:val="right"/>
              <w:rPr>
                <w:rFonts w:ascii="Arial" w:hAnsi="Arial" w:eastAsia="宋体" w:cs="Times New Roman"/>
                <w:kern w:val="0"/>
                <w:sz w:val="20"/>
                <w:szCs w:val="20"/>
                <w:lang w:val="en-GB" w:eastAsia="en-US"/>
              </w:rPr>
            </w:pPr>
          </w:p>
        </w:tc>
        <w:tc>
          <w:tcPr>
            <w:tcW w:w="1559" w:type="dxa"/>
            <w:shd w:val="pct30" w:color="FFFF00" w:fill="auto"/>
          </w:tcPr>
          <w:p>
            <w:pPr>
              <w:widowControl/>
              <w:jc w:val="right"/>
              <w:rPr>
                <w:rFonts w:ascii="Arial" w:hAnsi="Arial" w:eastAsia="宋体" w:cs="Times New Roman"/>
                <w:b/>
                <w:kern w:val="0"/>
                <w:sz w:val="28"/>
                <w:szCs w:val="20"/>
                <w:lang w:val="en-GB" w:eastAsia="en-US"/>
              </w:rPr>
            </w:pPr>
            <w:r>
              <w:rPr>
                <w:rFonts w:ascii="Arial" w:hAnsi="Arial" w:eastAsia="宋体" w:cs="Times New Roman"/>
                <w:b/>
                <w:kern w:val="0"/>
                <w:sz w:val="28"/>
                <w:szCs w:val="20"/>
                <w:lang w:val="en-GB" w:eastAsia="en-US"/>
              </w:rPr>
              <w:t>23.503</w:t>
            </w:r>
          </w:p>
        </w:tc>
        <w:tc>
          <w:tcPr>
            <w:tcW w:w="709" w:type="dxa"/>
          </w:tcPr>
          <w:p>
            <w:pPr>
              <w:widowControl/>
              <w:jc w:val="center"/>
              <w:rPr>
                <w:rFonts w:ascii="Arial" w:hAnsi="Arial" w:eastAsia="宋体" w:cs="Times New Roman"/>
                <w:kern w:val="0"/>
                <w:sz w:val="20"/>
                <w:szCs w:val="20"/>
                <w:lang w:val="en-GB" w:eastAsia="en-US"/>
              </w:rPr>
            </w:pPr>
            <w:r>
              <w:rPr>
                <w:rFonts w:ascii="Arial" w:hAnsi="Arial" w:eastAsia="宋体" w:cs="Times New Roman"/>
                <w:b/>
                <w:kern w:val="0"/>
                <w:sz w:val="28"/>
                <w:szCs w:val="20"/>
                <w:lang w:val="en-GB" w:eastAsia="en-US"/>
              </w:rPr>
              <w:t>CR</w:t>
            </w:r>
          </w:p>
        </w:tc>
        <w:tc>
          <w:tcPr>
            <w:tcW w:w="1276" w:type="dxa"/>
            <w:shd w:val="pct30" w:color="FFFF00" w:fill="auto"/>
          </w:tcPr>
          <w:p>
            <w:pPr>
              <w:widowControl/>
              <w:jc w:val="left"/>
              <w:rPr>
                <w:rFonts w:hint="default" w:ascii="Arial" w:hAnsi="Arial" w:eastAsia="宋体" w:cs="Times New Roman"/>
                <w:kern w:val="0"/>
                <w:sz w:val="20"/>
                <w:szCs w:val="20"/>
                <w:lang w:val="en-US" w:eastAsia="zh-CN"/>
              </w:rPr>
            </w:pPr>
            <w:bookmarkStart w:id="13" w:name="_GoBack"/>
            <w:r>
              <w:rPr>
                <w:rFonts w:hint="eastAsia" w:ascii="Arial" w:hAnsi="Arial" w:eastAsia="宋体" w:cs="Times New Roman"/>
                <w:b/>
                <w:kern w:val="0"/>
                <w:sz w:val="28"/>
                <w:szCs w:val="20"/>
                <w:lang w:val="en-US" w:eastAsia="zh-CN"/>
              </w:rPr>
              <w:t>1164</w:t>
            </w:r>
            <w:bookmarkEnd w:id="13"/>
          </w:p>
        </w:tc>
        <w:tc>
          <w:tcPr>
            <w:tcW w:w="709" w:type="dxa"/>
          </w:tcPr>
          <w:p>
            <w:pPr>
              <w:widowControl/>
              <w:tabs>
                <w:tab w:val="right" w:pos="625"/>
              </w:tabs>
              <w:jc w:val="center"/>
              <w:rPr>
                <w:rFonts w:ascii="Arial" w:hAnsi="Arial" w:eastAsia="宋体" w:cs="Times New Roman"/>
                <w:kern w:val="0"/>
                <w:sz w:val="20"/>
                <w:szCs w:val="20"/>
                <w:lang w:val="en-GB" w:eastAsia="en-US"/>
              </w:rPr>
            </w:pPr>
            <w:r>
              <w:rPr>
                <w:rFonts w:ascii="Arial" w:hAnsi="Arial" w:eastAsia="宋体" w:cs="Times New Roman"/>
                <w:b/>
                <w:bCs/>
                <w:kern w:val="0"/>
                <w:sz w:val="28"/>
                <w:szCs w:val="20"/>
                <w:lang w:val="en-GB" w:eastAsia="en-US"/>
              </w:rPr>
              <w:t>rev</w:t>
            </w:r>
          </w:p>
        </w:tc>
        <w:tc>
          <w:tcPr>
            <w:tcW w:w="992" w:type="dxa"/>
            <w:shd w:val="pct30" w:color="FFFF00" w:fill="auto"/>
          </w:tcPr>
          <w:p>
            <w:pPr>
              <w:widowControl/>
              <w:jc w:val="center"/>
              <w:rPr>
                <w:rFonts w:ascii="Arial" w:hAnsi="Arial" w:eastAsia="宋体" w:cs="Times New Roman"/>
                <w:b/>
                <w:kern w:val="0"/>
                <w:sz w:val="20"/>
                <w:szCs w:val="20"/>
                <w:lang w:val="en-GB" w:eastAsia="en-US"/>
              </w:rPr>
            </w:pPr>
            <w:r>
              <w:rPr>
                <w:rFonts w:ascii="Arial" w:hAnsi="Arial" w:eastAsia="宋体" w:cs="Times New Roman"/>
                <w:b/>
                <w:kern w:val="0"/>
                <w:sz w:val="28"/>
                <w:szCs w:val="20"/>
                <w:lang w:val="en-GB" w:eastAsia="en-US"/>
              </w:rPr>
              <w:t>-</w:t>
            </w:r>
          </w:p>
        </w:tc>
        <w:tc>
          <w:tcPr>
            <w:tcW w:w="2410" w:type="dxa"/>
          </w:tcPr>
          <w:p>
            <w:pPr>
              <w:widowControl/>
              <w:tabs>
                <w:tab w:val="right" w:pos="1825"/>
              </w:tabs>
              <w:jc w:val="center"/>
              <w:rPr>
                <w:rFonts w:ascii="Arial" w:hAnsi="Arial" w:eastAsia="宋体" w:cs="Times New Roman"/>
                <w:kern w:val="0"/>
                <w:sz w:val="20"/>
                <w:szCs w:val="20"/>
                <w:lang w:val="en-GB" w:eastAsia="en-US"/>
              </w:rPr>
            </w:pPr>
            <w:r>
              <w:rPr>
                <w:rFonts w:ascii="Arial" w:hAnsi="Arial" w:eastAsia="宋体" w:cs="Times New Roman"/>
                <w:b/>
                <w:kern w:val="0"/>
                <w:sz w:val="28"/>
                <w:szCs w:val="28"/>
                <w:lang w:val="en-GB" w:eastAsia="en-US"/>
              </w:rPr>
              <w:t>Current version:</w:t>
            </w:r>
          </w:p>
        </w:tc>
        <w:tc>
          <w:tcPr>
            <w:tcW w:w="1701" w:type="dxa"/>
            <w:shd w:val="pct30" w:color="FFFF00" w:fill="auto"/>
          </w:tcPr>
          <w:p>
            <w:pPr>
              <w:widowControl/>
              <w:jc w:val="center"/>
              <w:rPr>
                <w:rFonts w:ascii="Arial" w:hAnsi="Arial" w:eastAsia="宋体" w:cs="Times New Roman"/>
                <w:kern w:val="0"/>
                <w:sz w:val="28"/>
                <w:szCs w:val="20"/>
                <w:lang w:val="en-GB" w:eastAsia="en-US"/>
              </w:rPr>
            </w:pPr>
            <w:r>
              <w:rPr>
                <w:rFonts w:ascii="Arial" w:hAnsi="Arial" w:eastAsia="宋体" w:cs="Times New Roman"/>
                <w:b/>
                <w:kern w:val="0"/>
                <w:sz w:val="28"/>
                <w:szCs w:val="20"/>
                <w:lang w:val="en-GB" w:eastAsia="en-US"/>
              </w:rPr>
              <w:t>18.3.0</w:t>
            </w:r>
          </w:p>
        </w:tc>
        <w:tc>
          <w:tcPr>
            <w:tcW w:w="143" w:type="dxa"/>
            <w:tcBorders>
              <w:right w:val="single" w:color="auto" w:sz="4" w:space="0"/>
            </w:tcBorders>
          </w:tcPr>
          <w:p>
            <w:pPr>
              <w:widowControl/>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widowControl/>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widowControl/>
              <w:jc w:val="center"/>
              <w:rPr>
                <w:rFonts w:ascii="Arial" w:hAnsi="Arial" w:eastAsia="宋体" w:cs="Arial"/>
                <w:i/>
                <w:kern w:val="0"/>
                <w:sz w:val="20"/>
                <w:szCs w:val="20"/>
                <w:lang w:val="en-GB" w:eastAsia="en-US"/>
              </w:rPr>
            </w:pPr>
            <w:r>
              <w:rPr>
                <w:rFonts w:ascii="Arial" w:hAnsi="Arial" w:eastAsia="宋体" w:cs="Arial"/>
                <w:i/>
                <w:kern w:val="0"/>
                <w:sz w:val="20"/>
                <w:szCs w:val="20"/>
                <w:lang w:val="en-GB"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kern w:val="0"/>
                <w:sz w:val="20"/>
                <w:szCs w:val="20"/>
                <w:u w:val="single"/>
                <w:lang w:val="en-GB" w:eastAsia="en-US"/>
              </w:rPr>
              <w:t>HE</w:t>
            </w:r>
            <w:bookmarkStart w:id="2" w:name="_Hlt497126619"/>
            <w:r>
              <w:rPr>
                <w:rFonts w:ascii="Arial" w:hAnsi="Arial" w:eastAsia="宋体" w:cs="Arial"/>
                <w:b/>
                <w:i/>
                <w:color w:val="FF0000"/>
                <w:kern w:val="0"/>
                <w:sz w:val="20"/>
                <w:szCs w:val="20"/>
                <w:u w:val="single"/>
                <w:lang w:val="en-GB" w:eastAsia="en-US"/>
              </w:rPr>
              <w:t>L</w:t>
            </w:r>
            <w:bookmarkEnd w:id="2"/>
            <w:r>
              <w:rPr>
                <w:rFonts w:ascii="Arial" w:hAnsi="Arial" w:eastAsia="宋体" w:cs="Arial"/>
                <w:b/>
                <w:i/>
                <w:color w:val="FF0000"/>
                <w:kern w:val="0"/>
                <w:sz w:val="20"/>
                <w:szCs w:val="20"/>
                <w:u w:val="single"/>
                <w:lang w:val="en-GB" w:eastAsia="en-US"/>
              </w:rPr>
              <w:t>P</w:t>
            </w:r>
            <w:r>
              <w:rPr>
                <w:rFonts w:ascii="Arial" w:hAnsi="Arial" w:eastAsia="宋体" w:cs="Arial"/>
                <w:b/>
                <w:i/>
                <w:color w:val="FF0000"/>
                <w:kern w:val="0"/>
                <w:sz w:val="20"/>
                <w:szCs w:val="20"/>
                <w:u w:val="single"/>
                <w:lang w:val="en-GB" w:eastAsia="en-US"/>
              </w:rPr>
              <w:fldChar w:fldCharType="end"/>
            </w:r>
            <w:r>
              <w:rPr>
                <w:rFonts w:ascii="Arial" w:hAnsi="Arial" w:eastAsia="宋体" w:cs="Arial"/>
                <w:b/>
                <w:i/>
                <w:color w:val="FF0000"/>
                <w:kern w:val="0"/>
                <w:sz w:val="20"/>
                <w:szCs w:val="20"/>
                <w:lang w:val="en-GB" w:eastAsia="en-US"/>
              </w:rPr>
              <w:t xml:space="preserve"> </w:t>
            </w:r>
            <w:r>
              <w:rPr>
                <w:rFonts w:ascii="Arial" w:hAnsi="Arial" w:eastAsia="宋体" w:cs="Arial"/>
                <w:i/>
                <w:kern w:val="0"/>
                <w:sz w:val="20"/>
                <w:szCs w:val="20"/>
                <w:lang w:val="en-GB" w:eastAsia="en-US"/>
              </w:rPr>
              <w:t xml:space="preserve">on using this form: comprehensive instructions can be found at </w:t>
            </w:r>
            <w:r>
              <w:rPr>
                <w:rFonts w:ascii="Arial" w:hAnsi="Arial" w:eastAsia="宋体" w:cs="Arial"/>
                <w:i/>
                <w:kern w:val="0"/>
                <w:sz w:val="20"/>
                <w:szCs w:val="20"/>
                <w:lang w:val="en-GB"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kern w:val="0"/>
                <w:sz w:val="20"/>
                <w:szCs w:val="20"/>
                <w:u w:val="single"/>
                <w:lang w:val="en-GB" w:eastAsia="en-US"/>
              </w:rPr>
              <w:t>http://www.3gpp.org/Change-Requests</w:t>
            </w:r>
            <w:r>
              <w:rPr>
                <w:rFonts w:ascii="Arial" w:hAnsi="Arial" w:eastAsia="宋体" w:cs="Arial"/>
                <w:i/>
                <w:color w:val="0000FF"/>
                <w:kern w:val="0"/>
                <w:sz w:val="20"/>
                <w:szCs w:val="20"/>
                <w:u w:val="single"/>
                <w:lang w:val="en-GB" w:eastAsia="en-US"/>
              </w:rPr>
              <w:fldChar w:fldCharType="end"/>
            </w:r>
            <w:r>
              <w:rPr>
                <w:rFonts w:ascii="Arial" w:hAnsi="Arial" w:eastAsia="宋体" w:cs="Arial"/>
                <w:i/>
                <w:kern w:val="0"/>
                <w:sz w:val="20"/>
                <w:szCs w:val="20"/>
                <w:lang w:val="en-GB" w:eastAsia="en-US"/>
              </w:rPr>
              <w:t>.</w:t>
            </w:r>
          </w:p>
        </w:tc>
      </w:tr>
      <w:tr>
        <w:tblPrEx>
          <w:tblCellMar>
            <w:top w:w="0" w:type="dxa"/>
            <w:left w:w="42" w:type="dxa"/>
            <w:bottom w:w="0" w:type="dxa"/>
            <w:right w:w="42" w:type="dxa"/>
          </w:tblCellMar>
        </w:tblPrEx>
        <w:tc>
          <w:tcPr>
            <w:tcW w:w="9641" w:type="dxa"/>
            <w:gridSpan w:val="9"/>
          </w:tcPr>
          <w:p>
            <w:pPr>
              <w:widowControl/>
              <w:jc w:val="left"/>
              <w:rPr>
                <w:rFonts w:ascii="Arial" w:hAnsi="Arial" w:eastAsia="宋体" w:cs="Times New Roman"/>
                <w:kern w:val="0"/>
                <w:sz w:val="8"/>
                <w:szCs w:val="8"/>
                <w:lang w:val="en-GB" w:eastAsia="en-US"/>
              </w:rPr>
            </w:pPr>
          </w:p>
        </w:tc>
      </w:tr>
    </w:tbl>
    <w:p>
      <w:pPr>
        <w:widowControl/>
        <w:spacing w:after="180"/>
        <w:jc w:val="left"/>
        <w:rPr>
          <w:rFonts w:ascii="Times New Roman" w:hAnsi="Times New Roman" w:eastAsia="宋体" w:cs="Times New Roman"/>
          <w:kern w:val="0"/>
          <w:sz w:val="8"/>
          <w:szCs w:val="8"/>
          <w:lang w:val="en-GB" w:eastAsia="en-US"/>
        </w:rPr>
      </w:pPr>
    </w:p>
    <w:tbl>
      <w:tblPr>
        <w:tblStyle w:val="13"/>
        <w:tblW w:w="9640" w:type="dxa"/>
        <w:tblInd w:w="42" w:type="dxa"/>
        <w:tblLayout w:type="fixed"/>
        <w:tblCellMar>
          <w:top w:w="0" w:type="dxa"/>
          <w:left w:w="42" w:type="dxa"/>
          <w:bottom w:w="0" w:type="dxa"/>
          <w:right w:w="42" w:type="dxa"/>
        </w:tblCellMar>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blPrEx>
          <w:tblCellMar>
            <w:top w:w="0" w:type="dxa"/>
            <w:left w:w="42" w:type="dxa"/>
            <w:bottom w:w="0" w:type="dxa"/>
            <w:right w:w="42" w:type="dxa"/>
          </w:tblCellMar>
        </w:tblPrEx>
        <w:tc>
          <w:tcPr>
            <w:tcW w:w="2835" w:type="dxa"/>
            <w:gridSpan w:val="3"/>
          </w:tcPr>
          <w:p>
            <w:pPr>
              <w:widowControl/>
              <w:tabs>
                <w:tab w:val="right" w:pos="2751"/>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Proposed change affects:</w:t>
            </w:r>
          </w:p>
        </w:tc>
        <w:tc>
          <w:tcPr>
            <w:tcW w:w="1418" w:type="dxa"/>
            <w:gridSpan w:val="4"/>
          </w:tcPr>
          <w:p>
            <w:pPr>
              <w:widowControl/>
              <w:jc w:val="righ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709" w:type="dxa"/>
            <w:tcBorders>
              <w:left w:val="single" w:color="auto" w:sz="4" w:space="0"/>
            </w:tcBorders>
          </w:tcPr>
          <w:p>
            <w:pPr>
              <w:widowControl/>
              <w:jc w:val="right"/>
              <w:rPr>
                <w:rFonts w:ascii="Arial" w:hAnsi="Arial" w:eastAsia="宋体" w:cs="Times New Roman"/>
                <w:kern w:val="0"/>
                <w:sz w:val="20"/>
                <w:szCs w:val="20"/>
                <w:u w:val="single"/>
                <w:lang w:val="en-GB" w:eastAsia="en-US"/>
              </w:rPr>
            </w:pPr>
            <w:r>
              <w:rPr>
                <w:rFonts w:ascii="Arial" w:hAnsi="Arial" w:eastAsia="宋体" w:cs="Times New Roman"/>
                <w:kern w:val="0"/>
                <w:sz w:val="20"/>
                <w:szCs w:val="20"/>
                <w:lang w:val="en-GB"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126" w:type="dxa"/>
            <w:gridSpan w:val="5"/>
          </w:tcPr>
          <w:p>
            <w:pPr>
              <w:widowControl/>
              <w:jc w:val="right"/>
              <w:rPr>
                <w:rFonts w:ascii="Arial" w:hAnsi="Arial" w:eastAsia="宋体" w:cs="Times New Roman"/>
                <w:kern w:val="0"/>
                <w:sz w:val="20"/>
                <w:szCs w:val="20"/>
                <w:u w:val="single"/>
                <w:lang w:val="en-GB" w:eastAsia="en-US"/>
              </w:rPr>
            </w:pPr>
            <w:r>
              <w:rPr>
                <w:rFonts w:ascii="Arial" w:hAnsi="Arial" w:eastAsia="宋体" w:cs="Times New Roman"/>
                <w:kern w:val="0"/>
                <w:sz w:val="20"/>
                <w:szCs w:val="20"/>
                <w:lang w:val="en-GB"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1418" w:type="dxa"/>
            <w:tcBorders>
              <w:left w:val="nil"/>
            </w:tcBorders>
          </w:tcPr>
          <w:p>
            <w:pPr>
              <w:widowControl/>
              <w:jc w:val="righ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widowControl/>
              <w:jc w:val="center"/>
              <w:rPr>
                <w:rFonts w:ascii="Arial" w:hAnsi="Arial" w:eastAsia="宋体" w:cs="Times New Roman"/>
                <w:b/>
                <w:bCs/>
                <w:caps/>
                <w:kern w:val="0"/>
                <w:sz w:val="20"/>
                <w:szCs w:val="20"/>
                <w:lang w:val="en-GB" w:eastAsia="en-US"/>
              </w:rPr>
            </w:pPr>
            <w:r>
              <w:rPr>
                <w:rFonts w:ascii="Arial" w:hAnsi="Arial" w:eastAsia="宋体" w:cs="Times New Roman"/>
                <w:b/>
                <w:bCs/>
                <w:caps/>
                <w:kern w:val="0"/>
                <w:sz w:val="20"/>
                <w:szCs w:val="20"/>
                <w:lang w:val="en-GB" w:eastAsia="en-US"/>
              </w:rPr>
              <w:t>X</w:t>
            </w:r>
          </w:p>
        </w:tc>
      </w:tr>
      <w:tr>
        <w:tblPrEx>
          <w:tblCellMar>
            <w:top w:w="0" w:type="dxa"/>
            <w:left w:w="42" w:type="dxa"/>
            <w:bottom w:w="0" w:type="dxa"/>
            <w:right w:w="42" w:type="dxa"/>
          </w:tblCellMar>
        </w:tblPrEx>
        <w:tc>
          <w:tcPr>
            <w:tcW w:w="9640" w:type="dxa"/>
            <w:gridSpan w:val="18"/>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Title:</w:t>
            </w:r>
            <w:r>
              <w:rPr>
                <w:rFonts w:ascii="Arial" w:hAnsi="Arial" w:eastAsia="宋体" w:cs="Times New Roman"/>
                <w:b/>
                <w:i/>
                <w:kern w:val="0"/>
                <w:sz w:val="20"/>
                <w:szCs w:val="20"/>
                <w:lang w:val="en-GB" w:eastAsia="en-US"/>
              </w:rPr>
              <w:tab/>
            </w:r>
          </w:p>
        </w:tc>
        <w:tc>
          <w:tcPr>
            <w:tcW w:w="7797" w:type="dxa"/>
            <w:gridSpan w:val="17"/>
            <w:tcBorders>
              <w:top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rPr>
              <w:t xml:space="preserve">Clarification on </w:t>
            </w:r>
            <w:r>
              <w:rPr>
                <w:rFonts w:ascii="Arial" w:hAnsi="Arial" w:eastAsia="宋体" w:cs="Times New Roman"/>
                <w:kern w:val="0"/>
                <w:sz w:val="20"/>
                <w:szCs w:val="20"/>
                <w:lang w:val="en-GB" w:eastAsia="en-US"/>
              </w:rPr>
              <w:t>group specific</w:t>
            </w:r>
            <w:r>
              <w:rPr>
                <w:rFonts w:hint="eastAsia" w:ascii="Arial" w:hAnsi="Arial" w:eastAsia="宋体" w:cs="Times New Roman"/>
                <w:kern w:val="0"/>
                <w:sz w:val="20"/>
                <w:szCs w:val="20"/>
                <w:lang w:val="en-US" w:eastAsia="zh-CN"/>
              </w:rPr>
              <w:t xml:space="preserve"> </w:t>
            </w:r>
            <w:r>
              <w:rPr>
                <w:rFonts w:ascii="Arial" w:hAnsi="Arial" w:eastAsia="宋体" w:cs="Times New Roman"/>
                <w:kern w:val="0"/>
                <w:sz w:val="20"/>
                <w:szCs w:val="20"/>
                <w:lang w:val="en-GB" w:eastAsia="en-US"/>
              </w:rPr>
              <w:t>policy control information</w:t>
            </w:r>
          </w:p>
        </w:tc>
      </w:tr>
      <w:tr>
        <w:tblPrEx>
          <w:tblCellMar>
            <w:top w:w="0" w:type="dxa"/>
            <w:left w:w="42" w:type="dxa"/>
            <w:bottom w:w="0" w:type="dxa"/>
            <w:right w:w="42" w:type="dxa"/>
          </w:tblCellMar>
        </w:tblPrEx>
        <w:tc>
          <w:tcPr>
            <w:tcW w:w="1843" w:type="dxa"/>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7797" w:type="dxa"/>
            <w:gridSpan w:val="17"/>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Source to WG:</w:t>
            </w:r>
          </w:p>
        </w:tc>
        <w:tc>
          <w:tcPr>
            <w:tcW w:w="7797" w:type="dxa"/>
            <w:gridSpan w:val="17"/>
            <w:tcBorders>
              <w:right w:val="single" w:color="auto" w:sz="4" w:space="0"/>
            </w:tcBorders>
            <w:shd w:val="pct30" w:color="FFFF00" w:fill="auto"/>
          </w:tcPr>
          <w:p>
            <w:pPr>
              <w:widowControl/>
              <w:ind w:left="100"/>
              <w:jc w:val="left"/>
              <w:rPr>
                <w:rFonts w:ascii="Arial" w:hAnsi="Arial" w:eastAsia="宋体" w:cs="Times New Roman"/>
                <w:kern w:val="0"/>
                <w:sz w:val="20"/>
                <w:szCs w:val="20"/>
                <w:lang w:val="en-GB"/>
              </w:rPr>
            </w:pPr>
            <w:r>
              <w:rPr>
                <w:rFonts w:ascii="Arial" w:hAnsi="Arial" w:eastAsia="宋体" w:cs="Times New Roman"/>
                <w:kern w:val="0"/>
                <w:sz w:val="20"/>
                <w:szCs w:val="20"/>
                <w:lang w:val="en-GB" w:eastAsia="en-US"/>
              </w:rPr>
              <w:t>China Telecom</w:t>
            </w:r>
          </w:p>
        </w:tc>
      </w:tr>
      <w:tr>
        <w:tblPrEx>
          <w:tblCellMar>
            <w:top w:w="0" w:type="dxa"/>
            <w:left w:w="42" w:type="dxa"/>
            <w:bottom w:w="0" w:type="dxa"/>
            <w:right w:w="42" w:type="dxa"/>
          </w:tblCellMar>
        </w:tblPrEx>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Source to TSG:</w:t>
            </w:r>
          </w:p>
        </w:tc>
        <w:tc>
          <w:tcPr>
            <w:tcW w:w="7797" w:type="dxa"/>
            <w:gridSpan w:val="17"/>
            <w:tcBorders>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SA2</w:t>
            </w:r>
          </w:p>
        </w:tc>
      </w:tr>
      <w:tr>
        <w:tblPrEx>
          <w:tblCellMar>
            <w:top w:w="0" w:type="dxa"/>
            <w:left w:w="42" w:type="dxa"/>
            <w:bottom w:w="0" w:type="dxa"/>
            <w:right w:w="42" w:type="dxa"/>
          </w:tblCellMar>
        </w:tblPrEx>
        <w:tc>
          <w:tcPr>
            <w:tcW w:w="1843" w:type="dxa"/>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7797" w:type="dxa"/>
            <w:gridSpan w:val="17"/>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Work item code:</w:t>
            </w:r>
          </w:p>
        </w:tc>
        <w:tc>
          <w:tcPr>
            <w:tcW w:w="3686" w:type="dxa"/>
            <w:gridSpan w:val="9"/>
            <w:shd w:val="pct30" w:color="FFFF00" w:fill="auto"/>
          </w:tcPr>
          <w:p>
            <w:pPr>
              <w:widowControl/>
              <w:ind w:left="100"/>
              <w:jc w:val="left"/>
              <w:rPr>
                <w:rFonts w:ascii="Arial" w:hAnsi="Arial" w:eastAsia="宋体" w:cs="Times New Roman"/>
                <w:kern w:val="0"/>
                <w:sz w:val="20"/>
                <w:szCs w:val="20"/>
                <w:lang w:val="en-GB"/>
              </w:rPr>
            </w:pPr>
            <w:r>
              <w:rPr>
                <w:rFonts w:ascii="Arial" w:hAnsi="Arial" w:eastAsia="宋体" w:cs="Times New Roman"/>
                <w:kern w:val="0"/>
                <w:sz w:val="20"/>
                <w:szCs w:val="20"/>
                <w:lang w:val="en-GB"/>
              </w:rPr>
              <w:t>GMEC</w:t>
            </w:r>
          </w:p>
        </w:tc>
        <w:tc>
          <w:tcPr>
            <w:tcW w:w="567" w:type="dxa"/>
            <w:tcBorders>
              <w:left w:val="nil"/>
            </w:tcBorders>
          </w:tcPr>
          <w:p>
            <w:pPr>
              <w:widowControl/>
              <w:ind w:right="100"/>
              <w:jc w:val="left"/>
              <w:rPr>
                <w:rFonts w:ascii="Arial" w:hAnsi="Arial" w:eastAsia="宋体" w:cs="Times New Roman"/>
                <w:kern w:val="0"/>
                <w:sz w:val="20"/>
                <w:szCs w:val="20"/>
                <w:lang w:val="en-GB" w:eastAsia="en-US"/>
              </w:rPr>
            </w:pPr>
          </w:p>
        </w:tc>
        <w:tc>
          <w:tcPr>
            <w:tcW w:w="1417" w:type="dxa"/>
            <w:gridSpan w:val="3"/>
            <w:tcBorders>
              <w:left w:val="nil"/>
            </w:tcBorders>
          </w:tcPr>
          <w:p>
            <w:pPr>
              <w:widowControl/>
              <w:jc w:val="right"/>
              <w:rPr>
                <w:rFonts w:ascii="Arial" w:hAnsi="Arial" w:eastAsia="宋体" w:cs="Times New Roman"/>
                <w:kern w:val="0"/>
                <w:sz w:val="20"/>
                <w:szCs w:val="20"/>
                <w:lang w:val="en-GB" w:eastAsia="en-US"/>
              </w:rPr>
            </w:pPr>
            <w:r>
              <w:rPr>
                <w:rFonts w:ascii="Arial" w:hAnsi="Arial" w:eastAsia="宋体" w:cs="Times New Roman"/>
                <w:b/>
                <w:i/>
                <w:kern w:val="0"/>
                <w:sz w:val="20"/>
                <w:szCs w:val="20"/>
                <w:lang w:val="en-GB" w:eastAsia="en-US"/>
              </w:rPr>
              <w:t>Date:</w:t>
            </w:r>
          </w:p>
        </w:tc>
        <w:tc>
          <w:tcPr>
            <w:tcW w:w="2127" w:type="dxa"/>
            <w:gridSpan w:val="4"/>
            <w:tcBorders>
              <w:right w:val="single" w:color="auto" w:sz="4" w:space="0"/>
            </w:tcBorders>
            <w:shd w:val="pct30" w:color="FFFF00" w:fill="auto"/>
          </w:tcPr>
          <w:p>
            <w:pPr>
              <w:widowControl/>
              <w:ind w:left="100"/>
              <w:jc w:val="left"/>
              <w:rPr>
                <w:rFonts w:hint="default" w:ascii="Arial" w:hAnsi="Arial" w:eastAsia="宋体" w:cs="Times New Roman"/>
                <w:kern w:val="0"/>
                <w:sz w:val="20"/>
                <w:szCs w:val="20"/>
                <w:lang w:val="en-US" w:eastAsia="zh-CN"/>
              </w:rPr>
            </w:pPr>
            <w:r>
              <w:rPr>
                <w:rFonts w:ascii="Arial" w:hAnsi="Arial" w:eastAsia="宋体" w:cs="Times New Roman"/>
                <w:kern w:val="0"/>
                <w:sz w:val="20"/>
                <w:szCs w:val="20"/>
                <w:lang w:val="en-GB" w:eastAsia="en-US"/>
              </w:rPr>
              <w:t>2023-</w:t>
            </w:r>
            <w:r>
              <w:rPr>
                <w:rFonts w:hint="eastAsia" w:ascii="Arial" w:hAnsi="Arial" w:eastAsia="宋体" w:cs="Times New Roman"/>
                <w:kern w:val="0"/>
                <w:sz w:val="20"/>
                <w:szCs w:val="20"/>
                <w:lang w:val="en-US" w:eastAsia="zh-CN"/>
              </w:rPr>
              <w:t>10</w:t>
            </w:r>
            <w:r>
              <w:rPr>
                <w:rFonts w:ascii="Arial" w:hAnsi="Arial" w:eastAsia="宋体" w:cs="Times New Roman"/>
                <w:kern w:val="0"/>
                <w:sz w:val="20"/>
                <w:szCs w:val="20"/>
                <w:lang w:val="en-GB" w:eastAsia="en-US"/>
              </w:rPr>
              <w:t>-</w:t>
            </w:r>
            <w:r>
              <w:rPr>
                <w:rFonts w:hint="eastAsia" w:ascii="Arial" w:hAnsi="Arial" w:eastAsia="宋体" w:cs="Times New Roman"/>
                <w:kern w:val="0"/>
                <w:sz w:val="20"/>
                <w:szCs w:val="20"/>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1986" w:type="dxa"/>
            <w:gridSpan w:val="5"/>
          </w:tcPr>
          <w:p>
            <w:pPr>
              <w:widowControl/>
              <w:jc w:val="left"/>
              <w:rPr>
                <w:rFonts w:ascii="Arial" w:hAnsi="Arial" w:eastAsia="宋体" w:cs="Times New Roman"/>
                <w:kern w:val="0"/>
                <w:sz w:val="8"/>
                <w:szCs w:val="8"/>
                <w:lang w:val="en-GB" w:eastAsia="en-US"/>
              </w:rPr>
            </w:pPr>
          </w:p>
        </w:tc>
        <w:tc>
          <w:tcPr>
            <w:tcW w:w="2267" w:type="dxa"/>
            <w:gridSpan w:val="5"/>
          </w:tcPr>
          <w:p>
            <w:pPr>
              <w:widowControl/>
              <w:jc w:val="left"/>
              <w:rPr>
                <w:rFonts w:ascii="Arial" w:hAnsi="Arial" w:eastAsia="宋体" w:cs="Times New Roman"/>
                <w:kern w:val="0"/>
                <w:sz w:val="8"/>
                <w:szCs w:val="8"/>
                <w:lang w:val="en-GB" w:eastAsia="en-US"/>
              </w:rPr>
            </w:pPr>
          </w:p>
        </w:tc>
        <w:tc>
          <w:tcPr>
            <w:tcW w:w="1417" w:type="dxa"/>
            <w:gridSpan w:val="3"/>
          </w:tcPr>
          <w:p>
            <w:pPr>
              <w:widowControl/>
              <w:jc w:val="left"/>
              <w:rPr>
                <w:rFonts w:ascii="Arial" w:hAnsi="Arial" w:eastAsia="宋体" w:cs="Times New Roman"/>
                <w:kern w:val="0"/>
                <w:sz w:val="8"/>
                <w:szCs w:val="8"/>
                <w:lang w:val="en-GB" w:eastAsia="en-US"/>
              </w:rPr>
            </w:pPr>
          </w:p>
        </w:tc>
        <w:tc>
          <w:tcPr>
            <w:tcW w:w="2127" w:type="dxa"/>
            <w:gridSpan w:val="4"/>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widowControl/>
              <w:tabs>
                <w:tab w:val="right" w:pos="1759"/>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Category:</w:t>
            </w:r>
          </w:p>
        </w:tc>
        <w:tc>
          <w:tcPr>
            <w:tcW w:w="851" w:type="dxa"/>
            <w:shd w:val="pct30" w:color="FFFF00" w:fill="auto"/>
          </w:tcPr>
          <w:p>
            <w:pPr>
              <w:widowControl/>
              <w:ind w:left="100" w:right="-609"/>
              <w:jc w:val="left"/>
              <w:rPr>
                <w:rFonts w:ascii="Arial" w:hAnsi="Arial" w:eastAsia="宋体" w:cs="Times New Roman"/>
                <w:b/>
                <w:kern w:val="0"/>
                <w:sz w:val="20"/>
                <w:szCs w:val="20"/>
                <w:lang w:val="en-GB" w:eastAsia="en-US"/>
              </w:rPr>
            </w:pPr>
            <w:r>
              <w:rPr>
                <w:rFonts w:ascii="Arial" w:hAnsi="Arial" w:eastAsia="宋体" w:cs="Times New Roman"/>
                <w:b/>
                <w:kern w:val="0"/>
                <w:sz w:val="20"/>
                <w:szCs w:val="20"/>
                <w:lang w:val="en-GB" w:eastAsia="en-US"/>
              </w:rPr>
              <w:t>F</w:t>
            </w:r>
          </w:p>
        </w:tc>
        <w:tc>
          <w:tcPr>
            <w:tcW w:w="3402" w:type="dxa"/>
            <w:gridSpan w:val="9"/>
            <w:tcBorders>
              <w:left w:val="nil"/>
            </w:tcBorders>
          </w:tcPr>
          <w:p>
            <w:pPr>
              <w:widowControl/>
              <w:jc w:val="left"/>
              <w:rPr>
                <w:rFonts w:ascii="Arial" w:hAnsi="Arial" w:eastAsia="宋体" w:cs="Times New Roman"/>
                <w:kern w:val="0"/>
                <w:sz w:val="20"/>
                <w:szCs w:val="20"/>
                <w:lang w:val="en-GB" w:eastAsia="en-US"/>
              </w:rPr>
            </w:pPr>
          </w:p>
        </w:tc>
        <w:tc>
          <w:tcPr>
            <w:tcW w:w="1417" w:type="dxa"/>
            <w:gridSpan w:val="3"/>
            <w:tcBorders>
              <w:left w:val="nil"/>
            </w:tcBorders>
          </w:tcPr>
          <w:p>
            <w:pPr>
              <w:widowControl/>
              <w:jc w:val="righ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Release:</w:t>
            </w:r>
          </w:p>
        </w:tc>
        <w:tc>
          <w:tcPr>
            <w:tcW w:w="2127" w:type="dxa"/>
            <w:gridSpan w:val="4"/>
            <w:tcBorders>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widowControl/>
              <w:jc w:val="left"/>
              <w:rPr>
                <w:rFonts w:ascii="Arial" w:hAnsi="Arial" w:eastAsia="宋体" w:cs="Times New Roman"/>
                <w:b/>
                <w:i/>
                <w:kern w:val="0"/>
                <w:sz w:val="20"/>
                <w:szCs w:val="20"/>
                <w:lang w:val="en-GB" w:eastAsia="en-US"/>
              </w:rPr>
            </w:pPr>
          </w:p>
        </w:tc>
        <w:tc>
          <w:tcPr>
            <w:tcW w:w="4677" w:type="dxa"/>
            <w:gridSpan w:val="12"/>
            <w:tcBorders>
              <w:bottom w:val="single" w:color="auto" w:sz="4" w:space="0"/>
            </w:tcBorders>
          </w:tcPr>
          <w:p>
            <w:pPr>
              <w:widowControl/>
              <w:ind w:left="383" w:hanging="383"/>
              <w:jc w:val="left"/>
              <w:rPr>
                <w:rFonts w:ascii="Arial" w:hAnsi="Arial" w:eastAsia="宋体" w:cs="Times New Roman"/>
                <w:i/>
                <w:kern w:val="0"/>
                <w:sz w:val="18"/>
                <w:szCs w:val="20"/>
                <w:lang w:val="en-GB" w:eastAsia="en-US"/>
              </w:rPr>
            </w:pPr>
            <w:r>
              <w:rPr>
                <w:rFonts w:ascii="Arial" w:hAnsi="Arial" w:eastAsia="宋体" w:cs="Times New Roman"/>
                <w:i/>
                <w:kern w:val="0"/>
                <w:sz w:val="18"/>
                <w:szCs w:val="20"/>
                <w:lang w:val="en-GB" w:eastAsia="en-US"/>
              </w:rPr>
              <w:t xml:space="preserve">Use </w:t>
            </w:r>
            <w:r>
              <w:rPr>
                <w:rFonts w:ascii="Arial" w:hAnsi="Arial" w:eastAsia="宋体" w:cs="Times New Roman"/>
                <w:i/>
                <w:kern w:val="0"/>
                <w:sz w:val="18"/>
                <w:szCs w:val="20"/>
                <w:u w:val="single"/>
                <w:lang w:val="en-GB" w:eastAsia="en-US"/>
              </w:rPr>
              <w:t>one</w:t>
            </w:r>
            <w:r>
              <w:rPr>
                <w:rFonts w:ascii="Arial" w:hAnsi="Arial" w:eastAsia="宋体" w:cs="Times New Roman"/>
                <w:i/>
                <w:kern w:val="0"/>
                <w:sz w:val="18"/>
                <w:szCs w:val="20"/>
                <w:lang w:val="en-GB" w:eastAsia="en-US"/>
              </w:rPr>
              <w:t xml:space="preserve"> of the following categories:</w:t>
            </w:r>
            <w:r>
              <w:rPr>
                <w:rFonts w:ascii="Arial" w:hAnsi="Arial" w:eastAsia="宋体" w:cs="Times New Roman"/>
                <w:b/>
                <w:i/>
                <w:kern w:val="0"/>
                <w:sz w:val="18"/>
                <w:szCs w:val="20"/>
                <w:lang w:val="en-GB" w:eastAsia="en-US"/>
              </w:rPr>
              <w:br w:type="textWrapping"/>
            </w:r>
            <w:r>
              <w:rPr>
                <w:rFonts w:ascii="Arial" w:hAnsi="Arial" w:eastAsia="宋体" w:cs="Times New Roman"/>
                <w:b/>
                <w:i/>
                <w:kern w:val="0"/>
                <w:sz w:val="18"/>
                <w:szCs w:val="20"/>
                <w:lang w:val="en-GB" w:eastAsia="en-US"/>
              </w:rPr>
              <w:t>F</w:t>
            </w:r>
            <w:r>
              <w:rPr>
                <w:rFonts w:ascii="Arial" w:hAnsi="Arial" w:eastAsia="宋体" w:cs="Times New Roman"/>
                <w:i/>
                <w:kern w:val="0"/>
                <w:sz w:val="18"/>
                <w:szCs w:val="20"/>
                <w:lang w:val="en-GB" w:eastAsia="en-US"/>
              </w:rPr>
              <w:t xml:space="preserve">  (correction)</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A</w:t>
            </w:r>
            <w:r>
              <w:rPr>
                <w:rFonts w:ascii="Arial" w:hAnsi="Arial" w:eastAsia="宋体" w:cs="Times New Roman"/>
                <w:i/>
                <w:kern w:val="0"/>
                <w:sz w:val="18"/>
                <w:szCs w:val="20"/>
                <w:lang w:val="en-GB" w:eastAsia="en-US"/>
              </w:rPr>
              <w:t xml:space="preserve">  (mirror corresponding to a change in an earlier </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B</w:t>
            </w:r>
            <w:r>
              <w:rPr>
                <w:rFonts w:ascii="Arial" w:hAnsi="Arial" w:eastAsia="宋体" w:cs="Times New Roman"/>
                <w:i/>
                <w:kern w:val="0"/>
                <w:sz w:val="18"/>
                <w:szCs w:val="20"/>
                <w:lang w:val="en-GB" w:eastAsia="en-US"/>
              </w:rPr>
              <w:t xml:space="preserve">  (addition of feature), </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C</w:t>
            </w:r>
            <w:r>
              <w:rPr>
                <w:rFonts w:ascii="Arial" w:hAnsi="Arial" w:eastAsia="宋体" w:cs="Times New Roman"/>
                <w:i/>
                <w:kern w:val="0"/>
                <w:sz w:val="18"/>
                <w:szCs w:val="20"/>
                <w:lang w:val="en-GB" w:eastAsia="en-US"/>
              </w:rPr>
              <w:t xml:space="preserve">  (functional modification of feature)</w:t>
            </w:r>
            <w:r>
              <w:rPr>
                <w:rFonts w:ascii="Arial" w:hAnsi="Arial" w:eastAsia="宋体" w:cs="Times New Roman"/>
                <w:i/>
                <w:kern w:val="0"/>
                <w:sz w:val="18"/>
                <w:szCs w:val="20"/>
                <w:lang w:val="en-GB" w:eastAsia="en-US"/>
              </w:rPr>
              <w:br w:type="textWrapping"/>
            </w:r>
            <w:r>
              <w:rPr>
                <w:rFonts w:ascii="Arial" w:hAnsi="Arial" w:eastAsia="宋体" w:cs="Times New Roman"/>
                <w:b/>
                <w:i/>
                <w:kern w:val="0"/>
                <w:sz w:val="18"/>
                <w:szCs w:val="20"/>
                <w:lang w:val="en-GB" w:eastAsia="en-US"/>
              </w:rPr>
              <w:t>D</w:t>
            </w:r>
            <w:r>
              <w:rPr>
                <w:rFonts w:ascii="Arial" w:hAnsi="Arial" w:eastAsia="宋体" w:cs="Times New Roman"/>
                <w:i/>
                <w:kern w:val="0"/>
                <w:sz w:val="18"/>
                <w:szCs w:val="20"/>
                <w:lang w:val="en-GB" w:eastAsia="en-US"/>
              </w:rPr>
              <w:t xml:space="preserve">  (editorial modification)</w:t>
            </w:r>
          </w:p>
          <w:p>
            <w:pPr>
              <w:widowControl/>
              <w:spacing w:after="120"/>
              <w:jc w:val="left"/>
              <w:rPr>
                <w:rFonts w:ascii="Arial" w:hAnsi="Arial" w:eastAsia="宋体" w:cs="Times New Roman"/>
                <w:kern w:val="0"/>
                <w:sz w:val="20"/>
                <w:szCs w:val="20"/>
                <w:lang w:val="en-GB" w:eastAsia="en-US"/>
              </w:rPr>
            </w:pPr>
            <w:r>
              <w:rPr>
                <w:rFonts w:ascii="Arial" w:hAnsi="Arial" w:eastAsia="宋体" w:cs="Times New Roman"/>
                <w:kern w:val="0"/>
                <w:sz w:val="18"/>
                <w:szCs w:val="20"/>
                <w:lang w:val="en-GB" w:eastAsia="en-US"/>
              </w:rPr>
              <w:t>Detailed explanations of the above categories can</w:t>
            </w:r>
            <w:r>
              <w:rPr>
                <w:rFonts w:ascii="Arial" w:hAnsi="Arial" w:eastAsia="宋体" w:cs="Times New Roman"/>
                <w:kern w:val="0"/>
                <w:sz w:val="18"/>
                <w:szCs w:val="20"/>
                <w:lang w:val="en-GB" w:eastAsia="en-US"/>
              </w:rPr>
              <w:br w:type="textWrapping"/>
            </w:r>
            <w:r>
              <w:rPr>
                <w:rFonts w:ascii="Arial" w:hAnsi="Arial" w:eastAsia="宋体" w:cs="Times New Roman"/>
                <w:kern w:val="0"/>
                <w:sz w:val="18"/>
                <w:szCs w:val="20"/>
                <w:lang w:val="en-GB"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s="Times New Roman"/>
                <w:color w:val="0000FF"/>
                <w:kern w:val="0"/>
                <w:sz w:val="18"/>
                <w:szCs w:val="20"/>
                <w:u w:val="single"/>
                <w:lang w:val="en-GB" w:eastAsia="en-US"/>
              </w:rPr>
              <w:t>TR 21.900</w:t>
            </w:r>
            <w:r>
              <w:rPr>
                <w:rFonts w:ascii="Arial" w:hAnsi="Arial" w:eastAsia="宋体" w:cs="Times New Roman"/>
                <w:color w:val="0000FF"/>
                <w:kern w:val="0"/>
                <w:sz w:val="18"/>
                <w:szCs w:val="20"/>
                <w:u w:val="single"/>
                <w:lang w:val="en-GB" w:eastAsia="en-US"/>
              </w:rPr>
              <w:fldChar w:fldCharType="end"/>
            </w:r>
            <w:r>
              <w:rPr>
                <w:rFonts w:ascii="Arial" w:hAnsi="Arial" w:eastAsia="宋体" w:cs="Times New Roman"/>
                <w:kern w:val="0"/>
                <w:sz w:val="18"/>
                <w:szCs w:val="20"/>
                <w:lang w:val="en-GB" w:eastAsia="en-US"/>
              </w:rPr>
              <w:t>.</w:t>
            </w:r>
          </w:p>
        </w:tc>
        <w:tc>
          <w:tcPr>
            <w:tcW w:w="3120" w:type="dxa"/>
            <w:gridSpan w:val="5"/>
            <w:tcBorders>
              <w:bottom w:val="single" w:color="auto" w:sz="4" w:space="0"/>
              <w:right w:val="single" w:color="auto" w:sz="4" w:space="0"/>
            </w:tcBorders>
          </w:tcPr>
          <w:p>
            <w:pPr>
              <w:widowControl/>
              <w:tabs>
                <w:tab w:val="left" w:pos="950"/>
              </w:tabs>
              <w:ind w:left="241" w:hanging="241"/>
              <w:jc w:val="left"/>
              <w:rPr>
                <w:rFonts w:ascii="Arial" w:hAnsi="Arial" w:eastAsia="宋体" w:cs="Times New Roman"/>
                <w:i/>
                <w:kern w:val="0"/>
                <w:sz w:val="18"/>
                <w:szCs w:val="20"/>
                <w:lang w:val="en-GB" w:eastAsia="en-US"/>
              </w:rPr>
            </w:pPr>
            <w:r>
              <w:rPr>
                <w:rFonts w:ascii="Arial" w:hAnsi="Arial" w:eastAsia="宋体" w:cs="Times New Roman"/>
                <w:i/>
                <w:kern w:val="0"/>
                <w:sz w:val="18"/>
                <w:szCs w:val="20"/>
                <w:lang w:val="en-GB" w:eastAsia="en-US"/>
              </w:rPr>
              <w:t xml:space="preserve">Use </w:t>
            </w:r>
            <w:r>
              <w:rPr>
                <w:rFonts w:ascii="Arial" w:hAnsi="Arial" w:eastAsia="宋体" w:cs="Times New Roman"/>
                <w:i/>
                <w:kern w:val="0"/>
                <w:sz w:val="18"/>
                <w:szCs w:val="20"/>
                <w:u w:val="single"/>
                <w:lang w:val="en-GB" w:eastAsia="en-US"/>
              </w:rPr>
              <w:t>one</w:t>
            </w:r>
            <w:r>
              <w:rPr>
                <w:rFonts w:ascii="Arial" w:hAnsi="Arial" w:eastAsia="宋体" w:cs="Times New Roman"/>
                <w:i/>
                <w:kern w:val="0"/>
                <w:sz w:val="18"/>
                <w:szCs w:val="20"/>
                <w:lang w:val="en-GB" w:eastAsia="en-US"/>
              </w:rPr>
              <w:t xml:space="preserve"> of the following releases:</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Rel-8</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8)</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Rel-9</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9)</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Rel-10</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10)</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Rel-11</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11)</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Rel-16</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16)</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Rel-17</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17)</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Rel-18</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18)</w:t>
            </w:r>
            <w:r>
              <w:rPr>
                <w:rFonts w:ascii="Arial" w:hAnsi="Arial" w:eastAsia="宋体" w:cs="Times New Roman"/>
                <w:i/>
                <w:kern w:val="0"/>
                <w:sz w:val="18"/>
                <w:szCs w:val="20"/>
                <w:lang w:val="en-GB" w:eastAsia="en-US"/>
              </w:rPr>
              <w:br w:type="textWrapping"/>
            </w:r>
            <w:r>
              <w:rPr>
                <w:rFonts w:ascii="Arial" w:hAnsi="Arial" w:eastAsia="宋体" w:cs="Times New Roman"/>
                <w:i/>
                <w:kern w:val="0"/>
                <w:sz w:val="18"/>
                <w:szCs w:val="20"/>
                <w:lang w:val="en-GB" w:eastAsia="en-US"/>
              </w:rPr>
              <w:t>Rel-19</w:t>
            </w:r>
            <w:r>
              <w:rPr>
                <w:rFonts w:ascii="Arial" w:hAnsi="Arial" w:eastAsia="宋体" w:cs="Times New Roman"/>
                <w:i/>
                <w:kern w:val="0"/>
                <w:sz w:val="18"/>
                <w:szCs w:val="20"/>
                <w:lang w:val="en-GB" w:eastAsia="en-US"/>
              </w:rPr>
              <w:tab/>
            </w:r>
            <w:r>
              <w:rPr>
                <w:rFonts w:ascii="Arial" w:hAnsi="Arial" w:eastAsia="宋体" w:cs="Times New Roman"/>
                <w:i/>
                <w:kern w:val="0"/>
                <w:sz w:val="18"/>
                <w:szCs w:val="20"/>
                <w:lang w:val="en-GB" w:eastAsia="en-US"/>
              </w:rPr>
              <w:t>(Release 19)</w:t>
            </w:r>
          </w:p>
        </w:tc>
      </w:tr>
      <w:tr>
        <w:tblPrEx>
          <w:tblCellMar>
            <w:top w:w="0" w:type="dxa"/>
            <w:left w:w="42" w:type="dxa"/>
            <w:bottom w:w="0" w:type="dxa"/>
            <w:right w:w="42" w:type="dxa"/>
          </w:tblCellMar>
        </w:tblPrEx>
        <w:tc>
          <w:tcPr>
            <w:tcW w:w="1843" w:type="dxa"/>
          </w:tcPr>
          <w:p>
            <w:pPr>
              <w:widowControl/>
              <w:jc w:val="left"/>
              <w:rPr>
                <w:rFonts w:ascii="Arial" w:hAnsi="Arial" w:eastAsia="宋体" w:cs="Times New Roman"/>
                <w:b/>
                <w:i/>
                <w:kern w:val="0"/>
                <w:sz w:val="8"/>
                <w:szCs w:val="8"/>
                <w:lang w:val="en-GB" w:eastAsia="en-US"/>
              </w:rPr>
            </w:pPr>
          </w:p>
        </w:tc>
        <w:tc>
          <w:tcPr>
            <w:tcW w:w="7797" w:type="dxa"/>
            <w:gridSpan w:val="17"/>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Reason for change:</w:t>
            </w:r>
          </w:p>
        </w:tc>
        <w:tc>
          <w:tcPr>
            <w:tcW w:w="6946" w:type="dxa"/>
            <w:gridSpan w:val="16"/>
            <w:tcBorders>
              <w:top w:val="single" w:color="auto" w:sz="4" w:space="0"/>
              <w:right w:val="single" w:color="auto" w:sz="4" w:space="0"/>
            </w:tcBorders>
            <w:shd w:val="pct30" w:color="FFFF00" w:fill="auto"/>
          </w:tcPr>
          <w:p>
            <w:pPr>
              <w:widowControl/>
              <w:ind w:left="100"/>
              <w:jc w:val="left"/>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 xml:space="preserve">In clause 5.29.2 </w:t>
            </w:r>
            <w:r>
              <w:rPr>
                <w:rFonts w:hint="eastAsia" w:ascii="Times New Roman" w:hAnsi="Times New Roman" w:eastAsia="宋体" w:cs="Times New Roman"/>
                <w:kern w:val="0"/>
                <w:sz w:val="20"/>
                <w:szCs w:val="20"/>
                <w:lang w:val="en-GB"/>
              </w:rPr>
              <w:t>of</w:t>
            </w:r>
            <w:r>
              <w:rPr>
                <w:rFonts w:ascii="Times New Roman" w:hAnsi="Times New Roman" w:eastAsia="宋体" w:cs="Times New Roman"/>
                <w:kern w:val="0"/>
                <w:sz w:val="20"/>
                <w:szCs w:val="20"/>
                <w:lang w:val="en-GB"/>
              </w:rPr>
              <w:t xml:space="preserve"> TS23.501, it indicates that the 5G VN Group can be managed dynamically by AF, which is missed in </w:t>
            </w:r>
            <w:r>
              <w:rPr>
                <w:rFonts w:hint="eastAsia" w:ascii="Times New Roman" w:hAnsi="Times New Roman" w:eastAsia="宋体" w:cs="Times New Roman"/>
                <w:kern w:val="0"/>
                <w:sz w:val="20"/>
                <w:szCs w:val="20"/>
                <w:lang w:val="en-GB"/>
              </w:rPr>
              <w:t>clause</w:t>
            </w:r>
            <w:r>
              <w:rPr>
                <w:rFonts w:ascii="Times New Roman" w:hAnsi="Times New Roman" w:eastAsia="宋体" w:cs="Times New Roman"/>
                <w:kern w:val="0"/>
                <w:sz w:val="20"/>
                <w:szCs w:val="20"/>
                <w:lang w:val="en-GB"/>
              </w:rPr>
              <w:t xml:space="preserve"> 6.1.5 of TS </w:t>
            </w:r>
            <w:r>
              <w:rPr>
                <w:rFonts w:hint="eastAsia" w:ascii="Times New Roman" w:hAnsi="Times New Roman" w:eastAsia="宋体" w:cs="Times New Roman"/>
                <w:kern w:val="0"/>
                <w:sz w:val="20"/>
                <w:szCs w:val="20"/>
                <w:lang w:val="en-GB"/>
              </w:rPr>
              <w:t>23.503</w:t>
            </w:r>
            <w:r>
              <w:rPr>
                <w:rFonts w:ascii="Times New Roman" w:hAnsi="Times New Roman" w:eastAsia="宋体" w:cs="Times New Roman"/>
                <w:kern w:val="0"/>
                <w:sz w:val="20"/>
                <w:szCs w:val="20"/>
                <w:lang w:val="en-GB"/>
              </w:rPr>
              <w:t>.</w:t>
            </w:r>
          </w:p>
          <w:p>
            <w:pPr>
              <w:widowControl/>
              <w:ind w:left="100"/>
              <w:jc w:val="left"/>
              <w:rPr>
                <w:rFonts w:ascii="Times New Roman" w:hAnsi="Times New Roman" w:eastAsia="宋体" w:cs="Times New Roman"/>
                <w:kern w:val="0"/>
                <w:sz w:val="20"/>
                <w:szCs w:val="20"/>
                <w:lang w:val="en-GB"/>
              </w:rPr>
            </w:pPr>
          </w:p>
          <w:p>
            <w:pPr>
              <w:widowControl/>
              <w:ind w:left="100"/>
              <w:jc w:val="left"/>
              <w:rPr>
                <w:rFonts w:hint="eastAsia"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A</w:t>
            </w:r>
            <w:r>
              <w:rPr>
                <w:rFonts w:ascii="Times New Roman" w:hAnsi="Times New Roman" w:eastAsia="宋体" w:cs="Times New Roman"/>
                <w:kern w:val="0"/>
                <w:sz w:val="20"/>
                <w:szCs w:val="20"/>
                <w:lang w:val="en-GB"/>
              </w:rPr>
              <w:t>s indicated in clause 6.2.1.11, PCF can interacts with the UDR to update the Maximum Group Data Rate specific policy control information per group, i.e. the Remaining Maximum Group Data Rate per grou in the UDR, but this information is missed in the clause of policy control subscription information management.</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hint="eastAsia" w:ascii="Arial" w:hAnsi="Arial" w:eastAsia="宋体" w:cs="Times New Roman"/>
                <w:b/>
                <w:i/>
                <w:kern w:val="0"/>
                <w:sz w:val="8"/>
                <w:szCs w:val="8"/>
                <w:lang w:val="en-GB"/>
              </w:rPr>
            </w:pPr>
          </w:p>
        </w:tc>
        <w:tc>
          <w:tcPr>
            <w:tcW w:w="6946" w:type="dxa"/>
            <w:gridSpan w:val="16"/>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Summary of change:</w:t>
            </w:r>
          </w:p>
        </w:tc>
        <w:tc>
          <w:tcPr>
            <w:tcW w:w="6946" w:type="dxa"/>
            <w:gridSpan w:val="16"/>
            <w:tcBorders>
              <w:right w:val="single" w:color="auto" w:sz="4" w:space="0"/>
            </w:tcBorders>
            <w:shd w:val="pct30" w:color="FFFF00" w:fill="auto"/>
          </w:tcPr>
          <w:p>
            <w:pPr>
              <w:pStyle w:val="33"/>
              <w:widowControl/>
              <w:numPr>
                <w:ilvl w:val="0"/>
                <w:numId w:val="1"/>
              </w:numPr>
              <w:ind w:firstLineChars="0"/>
              <w:jc w:val="left"/>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Adding that A Maximum Group Data Rate can also be configured for a group by AF.</w:t>
            </w:r>
          </w:p>
          <w:p>
            <w:pPr>
              <w:pStyle w:val="33"/>
              <w:widowControl/>
              <w:numPr>
                <w:ilvl w:val="0"/>
                <w:numId w:val="1"/>
              </w:numPr>
              <w:ind w:firstLineChars="0"/>
              <w:jc w:val="left"/>
              <w:rPr>
                <w:rFonts w:ascii="Arial" w:hAnsi="Arial" w:eastAsia="宋体" w:cs="Times New Roman"/>
                <w:kern w:val="0"/>
                <w:sz w:val="20"/>
                <w:szCs w:val="20"/>
                <w:lang w:val="en-GB" w:eastAsia="en-US"/>
              </w:rPr>
            </w:pPr>
            <w:r>
              <w:rPr>
                <w:rFonts w:ascii="Times New Roman" w:hAnsi="Times New Roman" w:eastAsia="宋体" w:cs="Times New Roman"/>
                <w:kern w:val="0"/>
                <w:sz w:val="20"/>
                <w:szCs w:val="20"/>
                <w:lang w:val="en-GB"/>
              </w:rPr>
              <w:t>Adding the detail of Group specific policy control information in clause 6.2.1.3</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Consequences if not approved:</w:t>
            </w:r>
          </w:p>
        </w:tc>
        <w:tc>
          <w:tcPr>
            <w:tcW w:w="6946" w:type="dxa"/>
            <w:gridSpan w:val="16"/>
            <w:tcBorders>
              <w:bottom w:val="single" w:color="auto" w:sz="4" w:space="0"/>
              <w:right w:val="single" w:color="auto" w:sz="4" w:space="0"/>
            </w:tcBorders>
            <w:shd w:val="pct30" w:color="FFFF00" w:fill="auto"/>
          </w:tcPr>
          <w:p>
            <w:pPr>
              <w:widowControl/>
              <w:ind w:left="105" w:leftChars="50"/>
              <w:jc w:val="left"/>
              <w:rPr>
                <w:rFonts w:ascii="Arial" w:hAnsi="Arial" w:eastAsia="宋体" w:cs="Times New Roman"/>
                <w:kern w:val="0"/>
                <w:sz w:val="20"/>
                <w:szCs w:val="20"/>
                <w:lang w:val="en-GB" w:eastAsia="en-US"/>
              </w:rPr>
            </w:pPr>
            <w:r>
              <w:rPr>
                <w:rFonts w:ascii="Times New Roman" w:hAnsi="Times New Roman" w:eastAsia="宋体" w:cs="Times New Roman"/>
                <w:kern w:val="0"/>
                <w:sz w:val="20"/>
                <w:szCs w:val="20"/>
                <w:lang w:val="en-GB"/>
              </w:rPr>
              <w:t>The description of a Maximum Group Data Rate can also be configured by AF is missed</w:t>
            </w:r>
            <w:r>
              <w:rPr>
                <w:rFonts w:hint="eastAsia" w:ascii="Times New Roman" w:hAnsi="Times New Roman" w:eastAsia="宋体" w:cs="Times New Roman"/>
                <w:kern w:val="0"/>
                <w:sz w:val="20"/>
                <w:szCs w:val="20"/>
                <w:lang w:val="en-GB"/>
              </w:rPr>
              <w:t>.</w:t>
            </w:r>
            <w:r>
              <w:rPr>
                <w:rFonts w:ascii="Times New Roman" w:hAnsi="Times New Roman" w:eastAsia="宋体" w:cs="Times New Roman"/>
                <w:kern w:val="0"/>
                <w:sz w:val="20"/>
                <w:szCs w:val="20"/>
                <w:lang w:val="en-GB"/>
              </w:rPr>
              <w:t xml:space="preserve"> And the detail of Maxmum Group Data Rate specific policy control information is also missed</w:t>
            </w:r>
          </w:p>
        </w:tc>
      </w:tr>
      <w:tr>
        <w:tblPrEx>
          <w:tblCellMar>
            <w:top w:w="0" w:type="dxa"/>
            <w:left w:w="42" w:type="dxa"/>
            <w:bottom w:w="0" w:type="dxa"/>
            <w:right w:w="42" w:type="dxa"/>
          </w:tblCellMar>
        </w:tblPrEx>
        <w:tc>
          <w:tcPr>
            <w:tcW w:w="2694" w:type="dxa"/>
            <w:gridSpan w:val="2"/>
          </w:tcPr>
          <w:p>
            <w:pPr>
              <w:widowControl/>
              <w:jc w:val="left"/>
              <w:rPr>
                <w:rFonts w:ascii="Arial" w:hAnsi="Arial" w:eastAsia="宋体" w:cs="Times New Roman"/>
                <w:b/>
                <w:i/>
                <w:kern w:val="0"/>
                <w:sz w:val="8"/>
                <w:szCs w:val="8"/>
                <w:lang w:val="en-GB" w:eastAsia="en-US"/>
              </w:rPr>
            </w:pPr>
          </w:p>
        </w:tc>
        <w:tc>
          <w:tcPr>
            <w:tcW w:w="6946" w:type="dxa"/>
            <w:gridSpan w:val="16"/>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Clauses affected:</w:t>
            </w:r>
          </w:p>
        </w:tc>
        <w:tc>
          <w:tcPr>
            <w:tcW w:w="6946" w:type="dxa"/>
            <w:gridSpan w:val="16"/>
            <w:tcBorders>
              <w:top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6.1.5, 6.2.1.3</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8"/>
                <w:szCs w:val="8"/>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p>
        </w:tc>
        <w:tc>
          <w:tcPr>
            <w:tcW w:w="284" w:type="dxa"/>
            <w:gridSpan w:val="2"/>
            <w:tcBorders>
              <w:top w:val="single" w:color="auto" w:sz="4" w:space="0"/>
              <w:left w:val="single" w:color="auto" w:sz="4" w:space="0"/>
              <w:bottom w:val="single" w:color="auto" w:sz="4" w:space="0"/>
            </w:tcBorders>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N</w:t>
            </w:r>
          </w:p>
        </w:tc>
        <w:tc>
          <w:tcPr>
            <w:tcW w:w="2977" w:type="dxa"/>
            <w:gridSpan w:val="7"/>
          </w:tcPr>
          <w:p>
            <w:pPr>
              <w:widowControl/>
              <w:tabs>
                <w:tab w:val="right" w:pos="2893"/>
              </w:tabs>
              <w:jc w:val="left"/>
              <w:rPr>
                <w:rFonts w:ascii="Arial" w:hAnsi="Arial" w:eastAsia="宋体" w:cs="Times New Roman"/>
                <w:kern w:val="0"/>
                <w:sz w:val="20"/>
                <w:szCs w:val="20"/>
                <w:lang w:val="en-GB" w:eastAsia="en-US"/>
              </w:rPr>
            </w:pPr>
          </w:p>
        </w:tc>
        <w:tc>
          <w:tcPr>
            <w:tcW w:w="3401" w:type="dxa"/>
            <w:gridSpan w:val="6"/>
            <w:tcBorders>
              <w:right w:val="single" w:color="auto" w:sz="4" w:space="0"/>
            </w:tcBorders>
            <w:shd w:val="clear" w:color="FFFF00" w:fill="auto"/>
          </w:tcPr>
          <w:p>
            <w:pPr>
              <w:widowControl/>
              <w:ind w:left="99"/>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Other specs</w:t>
            </w:r>
          </w:p>
        </w:tc>
        <w:tc>
          <w:tcPr>
            <w:tcW w:w="284" w:type="dxa"/>
            <w:gridSpan w:val="2"/>
            <w:tcBorders>
              <w:top w:val="single" w:color="auto" w:sz="4" w:space="0"/>
              <w:left w:val="single" w:color="auto" w:sz="4" w:space="0"/>
              <w:bottom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X</w:t>
            </w:r>
          </w:p>
        </w:tc>
        <w:tc>
          <w:tcPr>
            <w:tcW w:w="2977" w:type="dxa"/>
            <w:gridSpan w:val="7"/>
          </w:tcPr>
          <w:p>
            <w:pPr>
              <w:widowControl/>
              <w:tabs>
                <w:tab w:val="right" w:pos="2893"/>
              </w:tabs>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 Other core specifications</w:t>
            </w:r>
            <w:r>
              <w:rPr>
                <w:rFonts w:ascii="Arial" w:hAnsi="Arial" w:eastAsia="宋体" w:cs="Times New Roman"/>
                <w:kern w:val="0"/>
                <w:sz w:val="20"/>
                <w:szCs w:val="20"/>
                <w:lang w:val="en-GB" w:eastAsia="en-US"/>
              </w:rPr>
              <w:tab/>
            </w:r>
          </w:p>
        </w:tc>
        <w:tc>
          <w:tcPr>
            <w:tcW w:w="3401" w:type="dxa"/>
            <w:gridSpan w:val="6"/>
            <w:tcBorders>
              <w:right w:val="single" w:color="auto" w:sz="4" w:space="0"/>
            </w:tcBorders>
            <w:shd w:val="pct30" w:color="FFFF00" w:fill="auto"/>
          </w:tcPr>
          <w:p>
            <w:pPr>
              <w:widowControl/>
              <w:ind w:left="99"/>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affected:</w:t>
            </w:r>
          </w:p>
        </w:tc>
        <w:tc>
          <w:tcPr>
            <w:tcW w:w="284" w:type="dxa"/>
            <w:gridSpan w:val="2"/>
            <w:tcBorders>
              <w:top w:val="single" w:color="auto" w:sz="4" w:space="0"/>
              <w:left w:val="single" w:color="auto" w:sz="4" w:space="0"/>
              <w:bottom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X</w:t>
            </w:r>
          </w:p>
        </w:tc>
        <w:tc>
          <w:tcPr>
            <w:tcW w:w="2977" w:type="dxa"/>
            <w:gridSpan w:val="7"/>
          </w:tcPr>
          <w:p>
            <w:pPr>
              <w:widowControl/>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 Test specifications</w:t>
            </w:r>
          </w:p>
        </w:tc>
        <w:tc>
          <w:tcPr>
            <w:tcW w:w="3401" w:type="dxa"/>
            <w:gridSpan w:val="6"/>
            <w:tcBorders>
              <w:right w:val="single" w:color="auto" w:sz="4" w:space="0"/>
            </w:tcBorders>
            <w:shd w:val="pct30" w:color="FFFF00" w:fill="auto"/>
          </w:tcPr>
          <w:p>
            <w:pPr>
              <w:widowControl/>
              <w:ind w:left="99"/>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widowControl/>
              <w:jc w:val="center"/>
              <w:rPr>
                <w:rFonts w:ascii="Arial" w:hAnsi="Arial" w:eastAsia="宋体" w:cs="Times New Roman"/>
                <w:b/>
                <w:caps/>
                <w:kern w:val="0"/>
                <w:sz w:val="20"/>
                <w:szCs w:val="20"/>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widowControl/>
              <w:jc w:val="center"/>
              <w:rPr>
                <w:rFonts w:ascii="Arial" w:hAnsi="Arial" w:eastAsia="宋体" w:cs="Times New Roman"/>
                <w:b/>
                <w:caps/>
                <w:kern w:val="0"/>
                <w:sz w:val="20"/>
                <w:szCs w:val="20"/>
                <w:lang w:val="en-GB" w:eastAsia="en-US"/>
              </w:rPr>
            </w:pPr>
            <w:r>
              <w:rPr>
                <w:rFonts w:ascii="Arial" w:hAnsi="Arial" w:eastAsia="宋体" w:cs="Times New Roman"/>
                <w:b/>
                <w:caps/>
                <w:kern w:val="0"/>
                <w:sz w:val="20"/>
                <w:szCs w:val="20"/>
                <w:lang w:val="en-GB" w:eastAsia="en-US"/>
              </w:rPr>
              <w:t>X</w:t>
            </w:r>
          </w:p>
        </w:tc>
        <w:tc>
          <w:tcPr>
            <w:tcW w:w="2977" w:type="dxa"/>
            <w:gridSpan w:val="7"/>
          </w:tcPr>
          <w:p>
            <w:pPr>
              <w:widowControl/>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 O&amp;M Specifications</w:t>
            </w:r>
          </w:p>
        </w:tc>
        <w:tc>
          <w:tcPr>
            <w:tcW w:w="3401" w:type="dxa"/>
            <w:gridSpan w:val="6"/>
            <w:tcBorders>
              <w:right w:val="single" w:color="auto" w:sz="4" w:space="0"/>
            </w:tcBorders>
            <w:shd w:val="pct30" w:color="FFFF00" w:fill="auto"/>
          </w:tcPr>
          <w:p>
            <w:pPr>
              <w:widowControl/>
              <w:ind w:left="99"/>
              <w:jc w:val="left"/>
              <w:rPr>
                <w:rFonts w:ascii="Arial" w:hAnsi="Arial" w:eastAsia="宋体" w:cs="Times New Roman"/>
                <w:kern w:val="0"/>
                <w:sz w:val="20"/>
                <w:szCs w:val="20"/>
                <w:lang w:val="en-GB" w:eastAsia="en-US"/>
              </w:rPr>
            </w:pPr>
            <w:r>
              <w:rPr>
                <w:rFonts w:ascii="Arial" w:hAnsi="Arial" w:eastAsia="宋体" w:cs="Times New Roman"/>
                <w:kern w:val="0"/>
                <w:sz w:val="20"/>
                <w:szCs w:val="20"/>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widowControl/>
              <w:jc w:val="left"/>
              <w:rPr>
                <w:rFonts w:ascii="Arial" w:hAnsi="Arial" w:eastAsia="宋体" w:cs="Times New Roman"/>
                <w:b/>
                <w:i/>
                <w:kern w:val="0"/>
                <w:sz w:val="20"/>
                <w:szCs w:val="20"/>
                <w:lang w:val="en-GB" w:eastAsia="en-US"/>
              </w:rPr>
            </w:pPr>
          </w:p>
        </w:tc>
        <w:tc>
          <w:tcPr>
            <w:tcW w:w="6946" w:type="dxa"/>
            <w:gridSpan w:val="16"/>
            <w:tcBorders>
              <w:right w:val="single" w:color="auto" w:sz="4" w:space="0"/>
            </w:tcBorders>
          </w:tcPr>
          <w:p>
            <w:pPr>
              <w:widowControl/>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Other comments:</w:t>
            </w:r>
          </w:p>
        </w:tc>
        <w:tc>
          <w:tcPr>
            <w:tcW w:w="6946" w:type="dxa"/>
            <w:gridSpan w:val="16"/>
            <w:tcBorders>
              <w:bottom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widowControl/>
              <w:tabs>
                <w:tab w:val="right" w:pos="2184"/>
              </w:tabs>
              <w:jc w:val="left"/>
              <w:rPr>
                <w:rFonts w:ascii="Arial" w:hAnsi="Arial" w:eastAsia="宋体" w:cs="Times New Roman"/>
                <w:b/>
                <w:i/>
                <w:kern w:val="0"/>
                <w:sz w:val="8"/>
                <w:szCs w:val="8"/>
                <w:lang w:val="en-GB" w:eastAsia="en-US"/>
              </w:rPr>
            </w:pPr>
          </w:p>
        </w:tc>
        <w:tc>
          <w:tcPr>
            <w:tcW w:w="6946" w:type="dxa"/>
            <w:gridSpan w:val="16"/>
            <w:tcBorders>
              <w:top w:val="single" w:color="auto" w:sz="4" w:space="0"/>
              <w:bottom w:val="single" w:color="auto" w:sz="4" w:space="0"/>
            </w:tcBorders>
            <w:shd w:val="solid" w:color="FFFFFF" w:fill="auto"/>
          </w:tcPr>
          <w:p>
            <w:pPr>
              <w:widowControl/>
              <w:ind w:left="100"/>
              <w:jc w:val="left"/>
              <w:rPr>
                <w:rFonts w:ascii="Arial" w:hAnsi="Arial" w:eastAsia="宋体" w:cs="Times New Roman"/>
                <w:kern w:val="0"/>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widowControl/>
              <w:tabs>
                <w:tab w:val="right" w:pos="2184"/>
              </w:tabs>
              <w:jc w:val="left"/>
              <w:rPr>
                <w:rFonts w:ascii="Arial" w:hAnsi="Arial" w:eastAsia="宋体" w:cs="Times New Roman"/>
                <w:b/>
                <w:i/>
                <w:kern w:val="0"/>
                <w:sz w:val="20"/>
                <w:szCs w:val="20"/>
                <w:lang w:val="en-GB" w:eastAsia="en-US"/>
              </w:rPr>
            </w:pPr>
            <w:r>
              <w:rPr>
                <w:rFonts w:ascii="Arial" w:hAnsi="Arial" w:eastAsia="宋体" w:cs="Times New Roman"/>
                <w:b/>
                <w:i/>
                <w:kern w:val="0"/>
                <w:sz w:val="20"/>
                <w:szCs w:val="20"/>
                <w:lang w:val="en-GB" w:eastAsia="en-US"/>
              </w:rPr>
              <w:t>This CR's revision history:</w:t>
            </w:r>
          </w:p>
        </w:tc>
        <w:tc>
          <w:tcPr>
            <w:tcW w:w="6946" w:type="dxa"/>
            <w:gridSpan w:val="16"/>
            <w:tcBorders>
              <w:top w:val="single" w:color="auto" w:sz="4" w:space="0"/>
              <w:bottom w:val="single" w:color="auto" w:sz="4" w:space="0"/>
              <w:right w:val="single" w:color="auto" w:sz="4" w:space="0"/>
            </w:tcBorders>
            <w:shd w:val="pct30" w:color="FFFF00" w:fill="auto"/>
          </w:tcPr>
          <w:p>
            <w:pPr>
              <w:widowControl/>
              <w:ind w:left="100"/>
              <w:jc w:val="left"/>
              <w:rPr>
                <w:rFonts w:ascii="Arial" w:hAnsi="Arial" w:eastAsia="宋体" w:cs="Times New Roman"/>
                <w:kern w:val="0"/>
                <w:sz w:val="20"/>
                <w:szCs w:val="20"/>
                <w:lang w:val="en-GB" w:eastAsia="en-US"/>
              </w:rPr>
            </w:pPr>
          </w:p>
        </w:tc>
      </w:tr>
    </w:tbl>
    <w:p>
      <w:pPr>
        <w:widowControl/>
        <w:jc w:val="left"/>
        <w:rPr>
          <w:rFonts w:ascii="Arial" w:hAnsi="Arial" w:eastAsia="宋体" w:cs="Times New Roman"/>
          <w:kern w:val="0"/>
          <w:sz w:val="8"/>
          <w:szCs w:val="8"/>
          <w:lang w:val="en-GB" w:eastAsia="en-US"/>
        </w:rPr>
      </w:pPr>
    </w:p>
    <w:p>
      <w:pPr>
        <w:widowControl/>
        <w:spacing w:after="180"/>
        <w:jc w:val="left"/>
        <w:rPr>
          <w:rFonts w:ascii="Times New Roman" w:hAnsi="Times New Roman" w:eastAsia="宋体" w:cs="Times New Roman"/>
          <w:kern w:val="0"/>
          <w:sz w:val="20"/>
          <w:szCs w:val="20"/>
          <w:lang w:val="en-GB" w:eastAsia="en-US"/>
        </w:rPr>
        <w:sectPr>
          <w:headerReference r:id="rId3" w:type="even"/>
          <w:footnotePr>
            <w:numRestart w:val="eachSect"/>
          </w:footnotePr>
          <w:pgSz w:w="11907" w:h="16840"/>
          <w:pgMar w:top="1418" w:right="1134" w:bottom="1134" w:left="1134" w:header="680" w:footer="567" w:gutter="0"/>
          <w:cols w:space="720" w:num="1"/>
        </w:sectPr>
      </w:pPr>
    </w:p>
    <w:p>
      <w:pPr>
        <w:widowControl/>
        <w:pBdr>
          <w:top w:val="single" w:color="auto" w:sz="4" w:space="1"/>
          <w:left w:val="single" w:color="auto" w:sz="4" w:space="4"/>
          <w:bottom w:val="single" w:color="auto" w:sz="4" w:space="1"/>
          <w:right w:val="single" w:color="auto" w:sz="4" w:space="4"/>
        </w:pBdr>
        <w:shd w:val="clear" w:color="auto" w:fill="FFFF00"/>
        <w:spacing w:after="180"/>
        <w:jc w:val="center"/>
        <w:outlineLvl w:val="0"/>
        <w:rPr>
          <w:rFonts w:ascii="Arial" w:hAnsi="Arial" w:eastAsia="宋体" w:cs="Arial"/>
          <w:color w:val="FF0000"/>
          <w:kern w:val="0"/>
          <w:sz w:val="28"/>
          <w:szCs w:val="28"/>
          <w:lang w:eastAsia="en-US"/>
        </w:rPr>
      </w:pPr>
      <w:r>
        <w:rPr>
          <w:rFonts w:ascii="Arial" w:hAnsi="Arial" w:eastAsia="宋体" w:cs="Arial"/>
          <w:color w:val="FF0000"/>
          <w:kern w:val="0"/>
          <w:sz w:val="28"/>
          <w:szCs w:val="28"/>
          <w:lang w:eastAsia="en-US"/>
        </w:rPr>
        <w:t xml:space="preserve">* * * * </w:t>
      </w:r>
      <w:r>
        <w:rPr>
          <w:rFonts w:hint="eastAsia" w:ascii="Arial" w:hAnsi="Arial" w:eastAsia="宋体" w:cs="Arial"/>
          <w:color w:val="FF0000"/>
          <w:kern w:val="0"/>
          <w:sz w:val="28"/>
          <w:szCs w:val="28"/>
        </w:rPr>
        <w:t>First</w:t>
      </w:r>
      <w:r>
        <w:rPr>
          <w:rFonts w:ascii="Arial" w:hAnsi="Arial" w:eastAsia="宋体" w:cs="Arial"/>
          <w:color w:val="FF0000"/>
          <w:kern w:val="0"/>
          <w:sz w:val="28"/>
          <w:szCs w:val="28"/>
          <w:lang w:eastAsia="en-US"/>
        </w:rPr>
        <w:t xml:space="preserve"> change * * * *</w:t>
      </w:r>
      <w:bookmarkStart w:id="3" w:name="_Toc517082226"/>
    </w:p>
    <w:bookmarkEnd w:id="3"/>
    <w:p>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等线" w:cs="Times New Roman"/>
          <w:kern w:val="0"/>
          <w:sz w:val="28"/>
          <w:szCs w:val="20"/>
          <w:lang w:val="en-GB" w:eastAsia="en-GB"/>
        </w:rPr>
      </w:pPr>
      <w:bookmarkStart w:id="4" w:name="_Toc138395209"/>
      <w:bookmarkStart w:id="5" w:name="_Toc47594278"/>
      <w:bookmarkStart w:id="6" w:name="_Toc27896517"/>
      <w:bookmarkStart w:id="7" w:name="_Toc19197364"/>
      <w:bookmarkStart w:id="8" w:name="_Toc138395222"/>
      <w:bookmarkStart w:id="9" w:name="_Toc37076416"/>
      <w:bookmarkStart w:id="10" w:name="_Toc45194866"/>
      <w:bookmarkStart w:id="11" w:name="_Toc36192685"/>
      <w:bookmarkStart w:id="12" w:name="_Toc51836907"/>
      <w:r>
        <w:rPr>
          <w:rFonts w:ascii="Arial" w:hAnsi="Arial" w:eastAsia="等线" w:cs="Times New Roman"/>
          <w:kern w:val="0"/>
          <w:sz w:val="28"/>
          <w:szCs w:val="20"/>
          <w:lang w:val="en-GB" w:eastAsia="en-GB"/>
        </w:rPr>
        <w:t>6.1.5</w:t>
      </w:r>
      <w:r>
        <w:rPr>
          <w:rFonts w:ascii="Arial" w:hAnsi="Arial" w:eastAsia="等线" w:cs="Times New Roman"/>
          <w:kern w:val="0"/>
          <w:sz w:val="28"/>
          <w:szCs w:val="20"/>
          <w:lang w:val="en-GB" w:eastAsia="en-GB"/>
        </w:rPr>
        <w:tab/>
      </w:r>
      <w:r>
        <w:rPr>
          <w:rFonts w:ascii="Arial" w:hAnsi="Arial" w:eastAsia="等线" w:cs="Times New Roman"/>
          <w:kern w:val="0"/>
          <w:sz w:val="28"/>
          <w:szCs w:val="20"/>
          <w:lang w:val="en-GB" w:eastAsia="en-GB"/>
        </w:rPr>
        <w:t>Group related policy control</w:t>
      </w:r>
      <w:bookmarkEnd w:id="4"/>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Group related policy control supports limitation of the data rate per group and is only applicable to 5G VN groups, as described in clause 5.29.2 of TS 23.501 [2].</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Maximum Group Data Rate defines the maximum allowed aggregate data rate across all GBR and Non-GBR QoS Flows within the group.</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A Maximum Group Data Rate can be configured for a group by the operator</w:t>
      </w:r>
      <w:ins w:id="0" w:author="China Telecom" w:date="2023-09-21T17:32:00Z">
        <w:r>
          <w:rPr>
            <w:rFonts w:ascii="Times New Roman" w:hAnsi="Times New Roman" w:eastAsia="等线" w:cs="Times New Roman"/>
            <w:kern w:val="0"/>
            <w:sz w:val="20"/>
            <w:szCs w:val="20"/>
            <w:lang w:val="en-GB" w:eastAsia="en-GB"/>
          </w:rPr>
          <w:t xml:space="preserve"> or</w:t>
        </w:r>
      </w:ins>
      <w:ins w:id="1" w:author="China Telecom" w:date="2023-09-21T17:34:00Z">
        <w:r>
          <w:rPr>
            <w:rFonts w:ascii="Times New Roman" w:hAnsi="Times New Roman" w:eastAsia="等线" w:cs="Times New Roman"/>
            <w:kern w:val="0"/>
            <w:sz w:val="20"/>
            <w:szCs w:val="20"/>
            <w:lang w:val="en-GB" w:eastAsia="en-GB"/>
          </w:rPr>
          <w:t xml:space="preserve"> </w:t>
        </w:r>
      </w:ins>
      <w:ins w:id="2" w:author="China Telecom" w:date="2023-09-21T17:35:00Z">
        <w:r>
          <w:rPr>
            <w:rFonts w:ascii="Times New Roman" w:hAnsi="Times New Roman" w:eastAsia="等线" w:cs="Times New Roman"/>
            <w:kern w:val="0"/>
            <w:sz w:val="20"/>
            <w:szCs w:val="20"/>
            <w:lang w:val="en-GB" w:eastAsia="en-GB"/>
          </w:rPr>
          <w:t>AF</w:t>
        </w:r>
      </w:ins>
      <w:r>
        <w:rPr>
          <w:rFonts w:ascii="Times New Roman" w:hAnsi="Times New Roman" w:eastAsia="等线" w:cs="Times New Roman"/>
          <w:kern w:val="0"/>
          <w:sz w:val="20"/>
          <w:szCs w:val="20"/>
          <w:lang w:val="en-GB" w:eastAsia="en-GB"/>
        </w:rPr>
        <w:t>. The Maximum Group Data Rate has an UL and a DL value.</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PCF monitors the data rate of the group and ensures that it does not exceed the Maximum Group Data Rate for that group. The method of PCF to realize the above functions is same as limitation of the data rate per network slice as defined in clauses 6.1.4.1 and 6.1.4.3 with the following differences:</w:t>
      </w:r>
    </w:p>
    <w:p>
      <w:pPr>
        <w:widowControl/>
        <w:overflowPunct w:val="0"/>
        <w:autoSpaceDE w:val="0"/>
        <w:autoSpaceDN w:val="0"/>
        <w:adjustRightInd w:val="0"/>
        <w:spacing w:after="180"/>
        <w:ind w:left="568" w:hanging="284"/>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w:t>
      </w:r>
      <w:r>
        <w:rPr>
          <w:rFonts w:ascii="Times New Roman" w:hAnsi="Times New Roman" w:eastAsia="等线" w:cs="Times New Roman"/>
          <w:kern w:val="0"/>
          <w:sz w:val="20"/>
          <w:szCs w:val="20"/>
          <w:lang w:val="en-GB" w:eastAsia="en-GB"/>
        </w:rPr>
        <w:tab/>
      </w:r>
      <w:r>
        <w:rPr>
          <w:rFonts w:ascii="Times New Roman" w:hAnsi="Times New Roman" w:eastAsia="等线" w:cs="Times New Roman"/>
          <w:kern w:val="0"/>
          <w:sz w:val="20"/>
          <w:szCs w:val="20"/>
          <w:lang w:val="en-GB" w:eastAsia="en-GB"/>
        </w:rPr>
        <w:t>Instead of handling Maximum Slice Data Rate per S-NSSAI, the UDR and PCF handles the Maximum Group Data Rate per group identified by DNN and S-NSSAI.</w:t>
      </w:r>
    </w:p>
    <w:p>
      <w:pPr>
        <w:widowControl/>
        <w:overflowPunct w:val="0"/>
        <w:autoSpaceDE w:val="0"/>
        <w:autoSpaceDN w:val="0"/>
        <w:adjustRightInd w:val="0"/>
        <w:spacing w:after="180"/>
        <w:ind w:left="568" w:hanging="284"/>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w:t>
      </w:r>
      <w:r>
        <w:rPr>
          <w:rFonts w:ascii="Times New Roman" w:hAnsi="Times New Roman" w:eastAsia="等线" w:cs="Times New Roman"/>
          <w:kern w:val="0"/>
          <w:sz w:val="20"/>
          <w:szCs w:val="20"/>
          <w:lang w:val="en-GB" w:eastAsia="en-GB"/>
        </w:rPr>
        <w:tab/>
      </w:r>
      <w:r>
        <w:rPr>
          <w:rFonts w:ascii="Times New Roman" w:hAnsi="Times New Roman" w:eastAsia="等线" w:cs="Times New Roman"/>
          <w:kern w:val="0"/>
          <w:sz w:val="20"/>
          <w:szCs w:val="20"/>
          <w:lang w:val="en-GB" w:eastAsia="en-GB"/>
        </w:rPr>
        <w:t>Instead of deducting the value of the authorized Session-AMBR and the MBR of every GBR SDF for every PDU Session of a slice, the PCF deducts such value for every PDU Session accessing to the group.</w:t>
      </w:r>
    </w:p>
    <w:p>
      <w:pPr>
        <w:widowControl/>
        <w:pBdr>
          <w:top w:val="single" w:color="auto" w:sz="4" w:space="1"/>
          <w:left w:val="single" w:color="auto" w:sz="4" w:space="4"/>
          <w:bottom w:val="single" w:color="auto" w:sz="4" w:space="1"/>
          <w:right w:val="single" w:color="auto" w:sz="4" w:space="4"/>
        </w:pBdr>
        <w:shd w:val="clear" w:color="auto" w:fill="FFFF00"/>
        <w:spacing w:after="180"/>
        <w:jc w:val="center"/>
        <w:outlineLvl w:val="0"/>
        <w:rPr>
          <w:rFonts w:ascii="Arial" w:hAnsi="Arial" w:eastAsia="宋体" w:cs="Arial"/>
          <w:color w:val="FF0000"/>
          <w:kern w:val="0"/>
          <w:sz w:val="28"/>
          <w:szCs w:val="28"/>
          <w:lang w:eastAsia="en-US"/>
        </w:rPr>
      </w:pPr>
      <w:r>
        <w:rPr>
          <w:rFonts w:ascii="Arial" w:hAnsi="Arial" w:eastAsia="宋体" w:cs="Arial"/>
          <w:color w:val="FF0000"/>
          <w:kern w:val="0"/>
          <w:sz w:val="28"/>
          <w:szCs w:val="28"/>
          <w:lang w:eastAsia="en-US"/>
        </w:rPr>
        <w:t xml:space="preserve">* * * * </w:t>
      </w:r>
      <w:r>
        <w:rPr>
          <w:rFonts w:ascii="Arial" w:hAnsi="Arial" w:eastAsia="宋体" w:cs="Arial"/>
          <w:color w:val="FF0000"/>
          <w:kern w:val="0"/>
          <w:sz w:val="28"/>
          <w:szCs w:val="28"/>
        </w:rPr>
        <w:t>Next</w:t>
      </w:r>
      <w:r>
        <w:rPr>
          <w:rFonts w:ascii="Arial" w:hAnsi="Arial" w:eastAsia="宋体" w:cs="Arial"/>
          <w:color w:val="FF0000"/>
          <w:kern w:val="0"/>
          <w:sz w:val="28"/>
          <w:szCs w:val="28"/>
          <w:lang w:eastAsia="en-US"/>
        </w:rPr>
        <w:t xml:space="preserve"> change * * * *</w:t>
      </w:r>
    </w:p>
    <w:p>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等线" w:cs="Times New Roman"/>
          <w:kern w:val="0"/>
          <w:sz w:val="24"/>
          <w:szCs w:val="20"/>
          <w:lang w:val="en-GB"/>
        </w:rPr>
      </w:pPr>
      <w:r>
        <w:rPr>
          <w:rFonts w:ascii="Arial" w:hAnsi="Arial" w:eastAsia="等线" w:cs="Times New Roman"/>
          <w:kern w:val="0"/>
          <w:sz w:val="24"/>
          <w:szCs w:val="20"/>
          <w:lang w:val="en-GB" w:eastAsia="en-GB"/>
        </w:rPr>
        <w:t>6.2.1.</w:t>
      </w:r>
      <w:r>
        <w:rPr>
          <w:rFonts w:ascii="Arial" w:hAnsi="Arial" w:eastAsia="等线" w:cs="Times New Roman"/>
          <w:kern w:val="0"/>
          <w:sz w:val="24"/>
          <w:szCs w:val="20"/>
          <w:lang w:val="en-GB"/>
        </w:rPr>
        <w:t>3</w:t>
      </w:r>
      <w:r>
        <w:rPr>
          <w:rFonts w:ascii="Arial" w:hAnsi="Arial" w:eastAsia="等线" w:cs="Times New Roman"/>
          <w:kern w:val="0"/>
          <w:sz w:val="24"/>
          <w:szCs w:val="20"/>
          <w:lang w:val="en-GB" w:eastAsia="en-GB"/>
        </w:rPr>
        <w:tab/>
      </w:r>
      <w:r>
        <w:rPr>
          <w:rFonts w:ascii="Arial" w:hAnsi="Arial" w:eastAsia="等线" w:cs="Times New Roman"/>
          <w:kern w:val="0"/>
          <w:sz w:val="24"/>
          <w:szCs w:val="20"/>
          <w:lang w:val="en-GB" w:eastAsia="en-GB"/>
        </w:rPr>
        <w:t>Policy control s</w:t>
      </w:r>
      <w:r>
        <w:rPr>
          <w:rFonts w:ascii="Arial" w:hAnsi="Arial" w:eastAsia="等线" w:cs="Times New Roman"/>
          <w:kern w:val="0"/>
          <w:sz w:val="24"/>
          <w:szCs w:val="20"/>
          <w:lang w:val="en-GB"/>
        </w:rPr>
        <w:t>ubscription information management</w:t>
      </w:r>
      <w:bookmarkEnd w:id="5"/>
      <w:bookmarkEnd w:id="6"/>
      <w:bookmarkEnd w:id="7"/>
      <w:bookmarkEnd w:id="8"/>
      <w:bookmarkEnd w:id="9"/>
      <w:bookmarkEnd w:id="10"/>
      <w:bookmarkEnd w:id="11"/>
      <w:bookmarkEnd w:id="12"/>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PCF may request subscription information at PDU Session establishment, PDU Session modification, during AM Policy Association Establishment procedure and during the UE Policy Association Establishment procedure.</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pPr>
        <w:keepLines/>
        <w:widowControl/>
        <w:overflowPunct w:val="0"/>
        <w:autoSpaceDE w:val="0"/>
        <w:autoSpaceDN w:val="0"/>
        <w:adjustRightInd w:val="0"/>
        <w:spacing w:after="180"/>
        <w:ind w:left="1135" w:hanging="851"/>
        <w:jc w:val="left"/>
        <w:textAlignment w:val="baseline"/>
        <w:rPr>
          <w:rFonts w:ascii="Times New Roman" w:hAnsi="Times New Roman" w:eastAsia="等线" w:cs="Times New Roman"/>
          <w:kern w:val="0"/>
          <w:sz w:val="20"/>
          <w:szCs w:val="20"/>
          <w:lang w:val="en-GB" w:eastAsia="en-GB"/>
        </w:rPr>
      </w:pPr>
      <w:r>
        <w:rPr>
          <w:rFonts w:ascii="Times New Roman" w:hAnsi="Times New Roman" w:eastAsia="宋体" w:cs="Times New Roman"/>
          <w:kern w:val="0"/>
          <w:sz w:val="20"/>
          <w:szCs w:val="20"/>
          <w:lang w:val="en-GB" w:eastAsia="en-GB"/>
        </w:rPr>
        <w:t>NOTE</w:t>
      </w:r>
      <w:r>
        <w:rPr>
          <w:rFonts w:ascii="Times New Roman" w:hAnsi="Times New Roman" w:eastAsia="等线" w:cs="Times New Roman"/>
          <w:kern w:val="0"/>
          <w:sz w:val="20"/>
          <w:szCs w:val="20"/>
          <w:lang w:val="en-GB" w:eastAsia="en-GB"/>
        </w:rPr>
        <w:t> 1</w:t>
      </w:r>
      <w:r>
        <w:rPr>
          <w:rFonts w:ascii="Times New Roman" w:hAnsi="Times New Roman" w:eastAsia="宋体" w:cs="Times New Roman"/>
          <w:kern w:val="0"/>
          <w:sz w:val="20"/>
          <w:szCs w:val="20"/>
          <w:lang w:val="en-GB" w:eastAsia="en-GB"/>
        </w:rPr>
        <w:t>:</w:t>
      </w:r>
      <w:r>
        <w:rPr>
          <w:rFonts w:ascii="Times New Roman" w:hAnsi="Times New Roman" w:eastAsia="宋体" w:cs="Times New Roman"/>
          <w:kern w:val="0"/>
          <w:sz w:val="20"/>
          <w:szCs w:val="20"/>
          <w:lang w:val="en-GB" w:eastAsia="en-GB"/>
        </w:rPr>
        <w:tab/>
      </w:r>
      <w:r>
        <w:rPr>
          <w:rFonts w:ascii="Times New Roman" w:hAnsi="Times New Roman" w:eastAsia="等线" w:cs="Times New Roman"/>
          <w:kern w:val="0"/>
          <w:sz w:val="20"/>
          <w:szCs w:val="20"/>
          <w:lang w:val="en-GB" w:eastAsia="en-GB"/>
        </w:rPr>
        <w:t>How the PCF provisions/retrieves information related with policy control subscription data is defined in TS 23.501 [2].</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policy control subscription profile information provided by the UDR during the UE Policy Association Establishment procedure using Nudr service for Data Set "Policy Data" and Data Subset "UE context policy control data" is described in Table 6.2-1:</w:t>
      </w:r>
    </w:p>
    <w:p>
      <w:pPr>
        <w:keepNext/>
        <w:keepLines/>
        <w:widowControl/>
        <w:overflowPunct w:val="0"/>
        <w:autoSpaceDE w:val="0"/>
        <w:autoSpaceDN w:val="0"/>
        <w:adjustRightInd w:val="0"/>
        <w:spacing w:before="60" w:after="180"/>
        <w:jc w:val="center"/>
        <w:textAlignment w:val="baseline"/>
        <w:rPr>
          <w:rFonts w:ascii="Arial" w:hAnsi="Arial" w:eastAsia="等线" w:cs="Times New Roman"/>
          <w:b/>
          <w:kern w:val="0"/>
          <w:sz w:val="20"/>
          <w:szCs w:val="20"/>
          <w:lang w:val="en-GB" w:eastAsia="en-GB"/>
        </w:rPr>
      </w:pPr>
      <w:r>
        <w:rPr>
          <w:rFonts w:ascii="Arial" w:hAnsi="Arial" w:eastAsia="等线" w:cs="Times New Roman"/>
          <w:b/>
          <w:kern w:val="0"/>
          <w:sz w:val="20"/>
          <w:szCs w:val="20"/>
          <w:lang w:val="en-GB" w:eastAsia="en-GB"/>
        </w:rPr>
        <w:t>Table 6.2-1: UE context policy control subscription information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Information name</w:t>
            </w:r>
          </w:p>
        </w:tc>
        <w:tc>
          <w:tcPr>
            <w:tcW w:w="4961"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Description</w:t>
            </w:r>
          </w:p>
        </w:tc>
        <w:tc>
          <w:tcPr>
            <w:tcW w:w="1134"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Subscriber categories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List of category identifiers associated with the subscriber</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Tracing Requirements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Tracing requirements as defined in TS 32.421 [18]</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PEI</w:t>
            </w:r>
          </w:p>
        </w:tc>
        <w:tc>
          <w:tcPr>
            <w:tcW w:w="4961"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Permanent Equipment Identifier of the UE.</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OSId</w:t>
            </w:r>
          </w:p>
        </w:tc>
        <w:tc>
          <w:tcPr>
            <w:tcW w:w="4961"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Identifies the operating system supported by UE.</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Indication of UE support for ANDSP</w:t>
            </w:r>
          </w:p>
        </w:tc>
        <w:tc>
          <w:tcPr>
            <w:tcW w:w="4961"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the UE support for ANDSP.</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Indication of URSP Provisioning Support in EPS</w:t>
            </w:r>
          </w:p>
        </w:tc>
        <w:tc>
          <w:tcPr>
            <w:tcW w:w="4961"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the UE support for URSP Provisioning in EPS.</w:t>
            </w:r>
          </w:p>
        </w:tc>
        <w:tc>
          <w:tcPr>
            <w:tcW w:w="1134"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S-NSSAI subscription information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Contains the list of subscribed S-NSSAIs, its associated subscribed DNNs. For each DNN, it includes the Allowed PDU Session types, the Allowed SSC modes, LBO roaming allowed indication and the ATSSS information (NOTE).</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Subscriber spending limits control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whether the PCF must enforce UE policies based on subscriber spending limits.</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CHF address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address of the Charging Function and optionally the associated CHF instance ID and CHF set ID (see clause 6.3.1.0 of TS 23.501 [2]).</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88" w:type="dxa"/>
            <w:gridSpan w:val="3"/>
          </w:tcPr>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w:t>
            </w:r>
            <w:r>
              <w:rPr>
                <w:rFonts w:ascii="Arial" w:hAnsi="Arial" w:eastAsia="等线" w:cs="Times New Roman"/>
                <w:kern w:val="0"/>
                <w:sz w:val="18"/>
                <w:szCs w:val="20"/>
                <w:lang w:val="en-GB" w:eastAsia="en-GB"/>
              </w:rPr>
              <w:tab/>
            </w:r>
            <w:r>
              <w:rPr>
                <w:rFonts w:ascii="Arial" w:hAnsi="Arial" w:eastAsia="等线" w:cs="Times New Roman"/>
                <w:kern w:val="0"/>
                <w:sz w:val="18"/>
                <w:szCs w:val="20"/>
                <w:lang w:val="en-GB" w:eastAsia="en-GB"/>
              </w:rPr>
              <w:t>ATSSS information is defined in TS 23.502 [3] Table 5.2.3.3.1-1 and Indicates whether MA PDU Session establishment is allowed.</w:t>
            </w:r>
          </w:p>
        </w:tc>
      </w:tr>
    </w:tbl>
    <w:p>
      <w:pPr>
        <w:widowControl/>
        <w:overflowPunct w:val="0"/>
        <w:autoSpaceDE w:val="0"/>
        <w:autoSpaceDN w:val="0"/>
        <w:adjustRightInd w:val="0"/>
        <w:jc w:val="left"/>
        <w:textAlignment w:val="baseline"/>
        <w:rPr>
          <w:rFonts w:ascii="Times New Roman" w:hAnsi="Times New Roman" w:eastAsia="等线" w:cs="Times New Roman"/>
          <w:kern w:val="0"/>
          <w:sz w:val="20"/>
          <w:szCs w:val="20"/>
          <w:lang w:val="en-GB" w:eastAsia="en-GB"/>
        </w:rPr>
      </w:pPr>
    </w:p>
    <w:p>
      <w:pPr>
        <w:keepLines/>
        <w:widowControl/>
        <w:overflowPunct w:val="0"/>
        <w:autoSpaceDE w:val="0"/>
        <w:autoSpaceDN w:val="0"/>
        <w:adjustRightInd w:val="0"/>
        <w:spacing w:after="180"/>
        <w:ind w:left="1135" w:hanging="851"/>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NOTE 2:</w:t>
      </w:r>
      <w:r>
        <w:rPr>
          <w:rFonts w:ascii="Times New Roman" w:hAnsi="Times New Roman" w:eastAsia="等线" w:cs="Times New Roman"/>
          <w:kern w:val="0"/>
          <w:sz w:val="20"/>
          <w:szCs w:val="20"/>
          <w:lang w:val="en-GB" w:eastAsia="en-GB"/>
        </w:rPr>
        <w:tab/>
      </w:r>
      <w:r>
        <w:rPr>
          <w:rFonts w:ascii="Times New Roman" w:hAnsi="Times New Roman" w:eastAsia="等线" w:cs="Times New Roman"/>
          <w:kern w:val="0"/>
          <w:sz w:val="20"/>
          <w:szCs w:val="20"/>
          <w:lang w:val="en-GB" w:eastAsia="en-GB"/>
        </w:rPr>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policy control subscription profile information provided by the UDR at PDU Session establishment, using Nudr service for Data Set "Policy Data" and Data Subset "PDU Session policy control data" is described in Table 6.2-2.</w:t>
      </w:r>
    </w:p>
    <w:p>
      <w:pPr>
        <w:keepNext/>
        <w:keepLines/>
        <w:widowControl/>
        <w:overflowPunct w:val="0"/>
        <w:autoSpaceDE w:val="0"/>
        <w:autoSpaceDN w:val="0"/>
        <w:adjustRightInd w:val="0"/>
        <w:spacing w:before="60" w:after="180"/>
        <w:jc w:val="center"/>
        <w:textAlignment w:val="baseline"/>
        <w:rPr>
          <w:rFonts w:ascii="Arial" w:hAnsi="Arial" w:eastAsia="等线" w:cs="Times New Roman"/>
          <w:b/>
          <w:kern w:val="0"/>
          <w:sz w:val="20"/>
          <w:szCs w:val="20"/>
          <w:lang w:val="en-GB" w:eastAsia="en-GB"/>
        </w:rPr>
      </w:pPr>
      <w:r>
        <w:rPr>
          <w:rFonts w:ascii="Arial" w:hAnsi="Arial" w:eastAsia="等线" w:cs="Times New Roman"/>
          <w:b/>
          <w:kern w:val="0"/>
          <w:sz w:val="20"/>
          <w:szCs w:val="20"/>
          <w:lang w:val="en-GB" w:eastAsia="en-GB"/>
        </w:rPr>
        <w:t>Table 6.2-2: PDU Session policy control subscription information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Information name</w:t>
            </w:r>
          </w:p>
        </w:tc>
        <w:tc>
          <w:tcPr>
            <w:tcW w:w="4961"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Description</w:t>
            </w:r>
          </w:p>
        </w:tc>
        <w:tc>
          <w:tcPr>
            <w:tcW w:w="1276"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Allowed services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List of subscriber's allowed service identifiers.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 xml:space="preserve">Subscriber categories </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List of category identifiers associated with the subscriber.</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Subscribed GBR</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Maximum aggregate bitrate that can be provided across all GBR QoS Flows for the DNN and S-NSSAI.</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ADC support</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whether application detection and control can be enabled for a subscriber.</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Subscriber spending limits control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whether the PCF must enforce session management related policies based on subscriber spending limits.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IP index information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Information that identifies the IP Address allocation method during PDU Session establishment.</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Background Data Transfer Reference ID(s)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Reference ID(s) for Background Data Transfer Policies that apply to the UE.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Local routing indication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Indication on whether AF influence on traffic routing is allowed or not allowed.</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Service Function Chaining influence indication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Indication on whether AF influence on Service Function Chaining is allowed or not allowed.</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Subscribed UE-Slice-MBR(s)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Charging related information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This part defines the charging related information in the policy control subscription profile.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Default charging method</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Default charging method for the PDU Session (online / offline).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CHF address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address of the Charging Function and optionally the associated CHF instance ID and CHF set ID (see clause 6.3.1.0 of TS 23.501 [2]).</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Usage monitoring related information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Monitoring key</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An identifier to a usage monitoring control instance that includes one or more PCC rules.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Usage monitoring level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the scope of the usage monitoring instance (PDU Session level or per Service).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Start date</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Start date and time when the usage monitoring profile applies.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End date</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End date and time when the usage monitoring profile applies.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Volume limit</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Maximum allowed traffic volume.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Time limit</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Maximum allowed resource time usage.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Reset period</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Time period to reset the remaining allowed consumed usage for periodic usage monitoring control (postpaid subscriptions).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MPS subscription data</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This part defines the MPS subscription information in the policy control subscription profile.</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MPS priority</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subscription to MPS priority service; priority applies to all traffic on the PDU Session.</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IMS signalling priority</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subscription to IMS signalling priority service; priority only applies to IMS signalling traffic.</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MPS priority level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Relative priority level for multimedia priority services.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MCS priority</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subscription to MCS priority service; priority applies to all traffic on the PDU Session.</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MCS priority level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Relative priority level for MCS services.</w:t>
            </w:r>
          </w:p>
        </w:tc>
        <w:tc>
          <w:tcPr>
            <w:tcW w:w="1276"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330" w:type="dxa"/>
            <w:gridSpan w:val="3"/>
          </w:tcPr>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 1:</w:t>
            </w:r>
            <w:r>
              <w:rPr>
                <w:rFonts w:ascii="Arial" w:hAnsi="Arial" w:eastAsia="等线" w:cs="Times New Roman"/>
                <w:kern w:val="0"/>
                <w:sz w:val="18"/>
                <w:szCs w:val="20"/>
                <w:lang w:val="en-GB" w:eastAsia="en-GB"/>
              </w:rPr>
              <w:tab/>
            </w:r>
            <w:r>
              <w:rPr>
                <w:rFonts w:ascii="Arial" w:hAnsi="Arial" w:eastAsia="等线" w:cs="Times New Roman"/>
                <w:kern w:val="0"/>
                <w:sz w:val="18"/>
                <w:szCs w:val="20"/>
                <w:lang w:val="en-GB" w:eastAsia="en-GB"/>
              </w:rPr>
              <w:t>The information is mandatory if the specific part is included in the subscription information (e.g. the monitoring key is mandatory if the usage monitoring information part is included).</w:t>
            </w:r>
          </w:p>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NOTE 2:</w:t>
            </w:r>
            <w:r>
              <w:rPr>
                <w:rFonts w:ascii="Arial" w:hAnsi="Arial" w:eastAsia="等线" w:cs="Times New Roman"/>
                <w:kern w:val="0"/>
                <w:sz w:val="18"/>
                <w:szCs w:val="18"/>
                <w:lang w:val="en-GB" w:eastAsia="en-GB"/>
              </w:rPr>
              <w:tab/>
            </w:r>
            <w:r>
              <w:rPr>
                <w:rFonts w:ascii="Arial" w:hAnsi="Arial" w:eastAsia="等线" w:cs="Times New Roman"/>
                <w:kern w:val="0"/>
                <w:sz w:val="18"/>
                <w:szCs w:val="18"/>
                <w:lang w:val="en-GB" w:eastAsia="en-GB"/>
              </w:rPr>
              <w:t>The information is used in PCF as described in clause 6.2.1.9 when the monitoring of the UE-Slice-MBR for an S-NSSAI is performed at the PCF. There may be a UE-Slice-MBR value for each S-NSSAI, if applicable.</w:t>
            </w:r>
          </w:p>
        </w:tc>
      </w:tr>
    </w:tbl>
    <w:p>
      <w:pPr>
        <w:widowControl/>
        <w:overflowPunct w:val="0"/>
        <w:autoSpaceDE w:val="0"/>
        <w:autoSpaceDN w:val="0"/>
        <w:adjustRightInd w:val="0"/>
        <w:jc w:val="left"/>
        <w:textAlignment w:val="baseline"/>
        <w:rPr>
          <w:rFonts w:ascii="Times New Roman" w:hAnsi="Times New Roman" w:eastAsia="等线" w:cs="Times New Roman"/>
          <w:kern w:val="0"/>
          <w:sz w:val="20"/>
          <w:szCs w:val="20"/>
          <w:lang w:val="en-GB" w:eastAsia="en-GB"/>
        </w:rPr>
      </w:pPr>
    </w:p>
    <w:p>
      <w:pPr>
        <w:keepLines/>
        <w:widowControl/>
        <w:overflowPunct w:val="0"/>
        <w:autoSpaceDE w:val="0"/>
        <w:autoSpaceDN w:val="0"/>
        <w:adjustRightInd w:val="0"/>
        <w:spacing w:after="180"/>
        <w:ind w:left="1135" w:hanging="851"/>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NOTE 3:</w:t>
      </w:r>
      <w:r>
        <w:rPr>
          <w:rFonts w:ascii="Times New Roman" w:hAnsi="Times New Roman" w:eastAsia="等线" w:cs="Times New Roman"/>
          <w:kern w:val="0"/>
          <w:sz w:val="20"/>
          <w:szCs w:val="20"/>
          <w:lang w:val="en-GB" w:eastAsia="en-GB"/>
        </w:rPr>
        <w:tab/>
      </w:r>
      <w:r>
        <w:rPr>
          <w:rFonts w:ascii="Times New Roman" w:hAnsi="Times New Roman" w:eastAsia="等线" w:cs="Times New Roman"/>
          <w:kern w:val="0"/>
          <w:sz w:val="20"/>
          <w:szCs w:val="20"/>
          <w:lang w:val="en-GB" w:eastAsia="en-GB"/>
        </w:rPr>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pPr>
        <w:keepNext/>
        <w:keepLines/>
        <w:widowControl/>
        <w:overflowPunct w:val="0"/>
        <w:autoSpaceDE w:val="0"/>
        <w:autoSpaceDN w:val="0"/>
        <w:adjustRightInd w:val="0"/>
        <w:spacing w:before="60" w:after="180"/>
        <w:jc w:val="center"/>
        <w:textAlignment w:val="baseline"/>
        <w:rPr>
          <w:rFonts w:ascii="Arial" w:hAnsi="Arial" w:eastAsia="等线" w:cs="Times New Roman"/>
          <w:b/>
          <w:kern w:val="0"/>
          <w:sz w:val="20"/>
          <w:szCs w:val="20"/>
          <w:lang w:val="en-GB" w:eastAsia="en-GB"/>
        </w:rPr>
      </w:pPr>
      <w:r>
        <w:rPr>
          <w:rFonts w:ascii="Arial" w:hAnsi="Arial" w:eastAsia="等线" w:cs="Times New Roman"/>
          <w:b/>
          <w:kern w:val="0"/>
          <w:sz w:val="20"/>
          <w:szCs w:val="20"/>
          <w:lang w:val="en-GB" w:eastAsia="en-GB"/>
        </w:rPr>
        <w:t>Table 6.2-3: Remaining allowed usage subscription information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Information name</w:t>
            </w:r>
          </w:p>
        </w:tc>
        <w:tc>
          <w:tcPr>
            <w:tcW w:w="4961"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Description</w:t>
            </w:r>
          </w:p>
        </w:tc>
        <w:tc>
          <w:tcPr>
            <w:tcW w:w="1134"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Remaining allowed usage related information</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i/>
                <w:kern w:val="0"/>
                <w:sz w:val="18"/>
                <w:szCs w:val="18"/>
                <w:lang w:val="en-GB" w:eastAsia="en-GB"/>
              </w:rPr>
            </w:pPr>
            <w:r>
              <w:rPr>
                <w:rFonts w:ascii="Arial" w:hAnsi="Arial" w:eastAsia="等线" w:cs="Times New Roman"/>
                <w:i/>
                <w:kern w:val="0"/>
                <w:sz w:val="18"/>
                <w:szCs w:val="18"/>
                <w:lang w:val="en-GB" w:eastAsia="en-GB"/>
              </w:rPr>
              <w:t>This part includes a list of Remaining allowed usage associated with the subscriber.</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Monitoring key</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An identifier to a usage monitoring control included one or more PCC rules.</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Conditional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Usage monitoring level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Iindicates the scope of the usage monitoring (PDU Session level or service level).</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Volume usage</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Remaining allowed traffic volume.</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Time usage</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Remaining allowed resource time usage.</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18"/>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88" w:type="dxa"/>
            <w:gridSpan w:val="3"/>
          </w:tcPr>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20"/>
                <w:lang w:val="en-GB" w:eastAsia="en-GB"/>
              </w:rPr>
              <w:t>NOTE 1:</w:t>
            </w:r>
            <w:r>
              <w:rPr>
                <w:rFonts w:ascii="Arial" w:hAnsi="Arial" w:eastAsia="等线" w:cs="Times New Roman"/>
                <w:kern w:val="0"/>
                <w:sz w:val="18"/>
                <w:szCs w:val="20"/>
                <w:lang w:val="en-GB" w:eastAsia="en-GB"/>
              </w:rPr>
              <w:tab/>
            </w:r>
            <w:r>
              <w:rPr>
                <w:rFonts w:ascii="Arial" w:hAnsi="Arial" w:eastAsia="等线" w:cs="Times New Roman"/>
                <w:kern w:val="0"/>
                <w:sz w:val="18"/>
                <w:szCs w:val="20"/>
                <w:lang w:val="en-GB" w:eastAsia="en-GB"/>
              </w:rPr>
              <w:t>The information is mandatory if the specific part is included in the subscription information (e.g. the monitoring key is mandatory if the usage monitoring information part is included).</w:t>
            </w:r>
          </w:p>
        </w:tc>
      </w:tr>
    </w:tbl>
    <w:p>
      <w:pPr>
        <w:widowControl/>
        <w:overflowPunct w:val="0"/>
        <w:autoSpaceDE w:val="0"/>
        <w:autoSpaceDN w:val="0"/>
        <w:adjustRightInd w:val="0"/>
        <w:jc w:val="left"/>
        <w:textAlignment w:val="baseline"/>
        <w:rPr>
          <w:rFonts w:ascii="Times New Roman" w:hAnsi="Times New Roman" w:eastAsia="等线"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 xml:space="preserve">The </w:t>
      </w:r>
      <w:r>
        <w:rPr>
          <w:rFonts w:ascii="Times New Roman" w:hAnsi="Times New Roman" w:eastAsia="等线" w:cs="Times New Roman"/>
          <w:i/>
          <w:kern w:val="0"/>
          <w:sz w:val="20"/>
          <w:szCs w:val="20"/>
          <w:lang w:val="en-GB" w:eastAsia="en-GB"/>
        </w:rPr>
        <w:t>Allowed services</w:t>
      </w:r>
      <w:r>
        <w:rPr>
          <w:rFonts w:ascii="Times New Roman" w:hAnsi="Times New Roman" w:eastAsia="等线" w:cs="Times New Roman"/>
          <w:kern w:val="0"/>
          <w:sz w:val="20"/>
          <w:szCs w:val="20"/>
          <w:lang w:val="en-GB" w:eastAsia="en-GB"/>
        </w:rPr>
        <w:t xml:space="preserve"> may comprise any number of service identifiers allowed for the subscriber in the PDU Session. The PCF maps those service identifiers into PCC rules according to local configuration and operator policies.</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 xml:space="preserve">The </w:t>
      </w:r>
      <w:r>
        <w:rPr>
          <w:rFonts w:ascii="Times New Roman" w:hAnsi="Times New Roman" w:eastAsia="等线" w:cs="Times New Roman"/>
          <w:i/>
          <w:kern w:val="0"/>
          <w:sz w:val="20"/>
          <w:szCs w:val="20"/>
          <w:lang w:val="en-GB" w:eastAsia="en-GB"/>
        </w:rPr>
        <w:t>Subscriber category</w:t>
      </w:r>
      <w:r>
        <w:rPr>
          <w:rFonts w:ascii="Times New Roman" w:hAnsi="Times New Roman" w:eastAsia="等线" w:cs="Times New Roman"/>
          <w:kern w:val="0"/>
          <w:sz w:val="20"/>
          <w:szCs w:val="20"/>
          <w:lang w:val="en-GB" w:eastAsia="en-GB"/>
        </w:rPr>
        <w:t xml:space="preserve"> may comprise any number of identifiers associated with the subscriber (e.g. gold, silver, etc.). Each identifier associates operator defined policies to the subscriber that belong to that category.</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 xml:space="preserve">The </w:t>
      </w:r>
      <w:r>
        <w:rPr>
          <w:rFonts w:ascii="Times New Roman" w:hAnsi="Times New Roman" w:eastAsia="等线" w:cs="Times New Roman"/>
          <w:i/>
          <w:kern w:val="0"/>
          <w:sz w:val="20"/>
          <w:szCs w:val="20"/>
          <w:lang w:val="en-GB" w:eastAsia="en-GB"/>
        </w:rPr>
        <w:t>Usage monitoring related information</w:t>
      </w:r>
      <w:r>
        <w:rPr>
          <w:rFonts w:ascii="Times New Roman" w:hAnsi="Times New Roman" w:eastAsia="等线" w:cs="Times New Roman"/>
          <w:kern w:val="0"/>
          <w:sz w:val="20"/>
          <w:szCs w:val="20"/>
          <w:lang w:val="en-GB" w:eastAsia="en-GB"/>
        </w:rPr>
        <w:t xml:space="preserve"> may comprise any number of usage monitoring control instances associated with the subscriber. In each usage monitoring control instance is mandatory to include the </w:t>
      </w:r>
      <w:r>
        <w:rPr>
          <w:rFonts w:ascii="Times New Roman" w:hAnsi="Times New Roman" w:eastAsia="等线" w:cs="Times New Roman"/>
          <w:i/>
          <w:kern w:val="0"/>
          <w:sz w:val="20"/>
          <w:szCs w:val="20"/>
          <w:lang w:val="en-GB" w:eastAsia="en-GB"/>
        </w:rPr>
        <w:t>Monitoring key</w:t>
      </w:r>
      <w:r>
        <w:rPr>
          <w:rFonts w:ascii="Times New Roman" w:hAnsi="Times New Roman" w:eastAsia="等线" w:cs="Times New Roman"/>
          <w:kern w:val="0"/>
          <w:sz w:val="20"/>
          <w:szCs w:val="20"/>
          <w:lang w:val="en-GB" w:eastAsia="en-GB"/>
        </w:rPr>
        <w:t xml:space="preserve">. The </w:t>
      </w:r>
      <w:r>
        <w:rPr>
          <w:rFonts w:ascii="Times New Roman" w:hAnsi="Times New Roman" w:eastAsia="等线" w:cs="Times New Roman"/>
          <w:i/>
          <w:kern w:val="0"/>
          <w:sz w:val="20"/>
          <w:szCs w:val="20"/>
          <w:lang w:val="en-GB" w:eastAsia="en-GB"/>
        </w:rPr>
        <w:t>Reset period</w:t>
      </w:r>
      <w:r>
        <w:rPr>
          <w:rFonts w:ascii="Times New Roman" w:hAnsi="Times New Roman" w:eastAsia="等线" w:cs="Times New Roman"/>
          <w:kern w:val="0"/>
          <w:sz w:val="20"/>
          <w:szCs w:val="20"/>
          <w:lang w:val="en-GB"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Pr>
          <w:rFonts w:ascii="Times New Roman" w:hAnsi="Times New Roman" w:eastAsia="等线" w:cs="Times New Roman"/>
          <w:i/>
          <w:kern w:val="0"/>
          <w:sz w:val="20"/>
          <w:szCs w:val="20"/>
          <w:lang w:val="en-GB" w:eastAsia="en-GB"/>
        </w:rPr>
        <w:t>End date</w:t>
      </w:r>
      <w:r>
        <w:rPr>
          <w:rFonts w:ascii="Times New Roman" w:hAnsi="Times New Roman" w:eastAsia="等线" w:cs="Times New Roman"/>
          <w:kern w:val="0"/>
          <w:sz w:val="20"/>
          <w:szCs w:val="20"/>
          <w:lang w:val="en-GB" w:eastAsia="en-GB"/>
        </w:rPr>
        <w:t xml:space="preserve"> is reached. The usage monitoring related information is used by the PCF instead of the respective information for the subscriber category.</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Handling of operator specific policy data by the PCF is out of scope of this specification in this release.</w:t>
      </w: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6.2-4.</w:t>
      </w:r>
    </w:p>
    <w:p>
      <w:pPr>
        <w:keepNext/>
        <w:keepLines/>
        <w:widowControl/>
        <w:overflowPunct w:val="0"/>
        <w:autoSpaceDE w:val="0"/>
        <w:autoSpaceDN w:val="0"/>
        <w:adjustRightInd w:val="0"/>
        <w:spacing w:before="60" w:after="180"/>
        <w:jc w:val="center"/>
        <w:textAlignment w:val="baseline"/>
        <w:rPr>
          <w:rFonts w:ascii="Arial" w:hAnsi="Arial" w:eastAsia="等线" w:cs="Times New Roman"/>
          <w:b/>
          <w:kern w:val="0"/>
          <w:sz w:val="20"/>
          <w:szCs w:val="20"/>
          <w:lang w:val="en-GB" w:eastAsia="en-GB"/>
        </w:rPr>
      </w:pPr>
      <w:r>
        <w:rPr>
          <w:rFonts w:ascii="Arial" w:hAnsi="Arial" w:eastAsia="等线" w:cs="Times New Roman"/>
          <w:b/>
          <w:kern w:val="0"/>
          <w:sz w:val="20"/>
          <w:szCs w:val="20"/>
          <w:lang w:val="en-GB" w:eastAsia="en-GB"/>
        </w:rPr>
        <w:t>Table 6.2-4: Policy Set Entry</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Information name</w:t>
            </w:r>
          </w:p>
        </w:tc>
        <w:tc>
          <w:tcPr>
            <w:tcW w:w="4961"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Description</w:t>
            </w:r>
          </w:p>
        </w:tc>
        <w:tc>
          <w:tcPr>
            <w:tcW w:w="1134"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Policy Set Entry</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List of PSIs and content for each PSI. Content may be Access Network Discovery &amp; Selection Policy Information or UE Route Selection Policy information or both. The list of PSIs per VPLMN ID(s).</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18"/>
                <w:lang w:val="en-GB" w:eastAsia="en-GB"/>
              </w:rPr>
              <w:t>Optional</w:t>
            </w:r>
          </w:p>
        </w:tc>
      </w:tr>
    </w:tbl>
    <w:p>
      <w:pPr>
        <w:widowControl/>
        <w:overflowPunct w:val="0"/>
        <w:autoSpaceDE w:val="0"/>
        <w:autoSpaceDN w:val="0"/>
        <w:adjustRightInd w:val="0"/>
        <w:jc w:val="left"/>
        <w:textAlignment w:val="baseline"/>
        <w:rPr>
          <w:rFonts w:ascii="Times New Roman" w:hAnsi="Times New Roman" w:eastAsia="等线"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pPr>
        <w:keepNext/>
        <w:keepLines/>
        <w:widowControl/>
        <w:overflowPunct w:val="0"/>
        <w:autoSpaceDE w:val="0"/>
        <w:autoSpaceDN w:val="0"/>
        <w:adjustRightInd w:val="0"/>
        <w:spacing w:before="60" w:after="180"/>
        <w:jc w:val="center"/>
        <w:textAlignment w:val="baseline"/>
        <w:rPr>
          <w:rFonts w:ascii="Arial" w:hAnsi="Arial" w:eastAsia="等线" w:cs="Times New Roman"/>
          <w:b/>
          <w:kern w:val="0"/>
          <w:sz w:val="20"/>
          <w:szCs w:val="20"/>
          <w:lang w:val="en-GB" w:eastAsia="en-GB"/>
        </w:rPr>
      </w:pPr>
      <w:r>
        <w:rPr>
          <w:rFonts w:ascii="Arial" w:hAnsi="Arial" w:eastAsia="等线" w:cs="Times New Roman"/>
          <w:b/>
          <w:kern w:val="0"/>
          <w:sz w:val="20"/>
          <w:szCs w:val="20"/>
          <w:lang w:val="en-GB" w:eastAsia="en-GB"/>
        </w:rPr>
        <w:t>Table 6.2-5: Network slice specific policy control information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Information name</w:t>
            </w:r>
          </w:p>
        </w:tc>
        <w:tc>
          <w:tcPr>
            <w:tcW w:w="4961"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Description</w:t>
            </w:r>
          </w:p>
        </w:tc>
        <w:tc>
          <w:tcPr>
            <w:tcW w:w="1134"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Maximum Slice Data Rate for UL (per S-NSSAI)</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maximum uplink data rate for the specific network slice.</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Optional</w:t>
            </w:r>
          </w:p>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Maximum Slice Data Rate for DL (per S-NSSAI)</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maximum downlink data rate for the specific network slice.</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Optional</w:t>
            </w:r>
          </w:p>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20"/>
                <w:lang w:val="en-GB" w:eastAsia="en-GB"/>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Remaining Maximum Slice Data Rate for UL (per S-NSSAI)</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remaining maximum uplink data rate for the specific network slice (NOTE 1).</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Optional</w:t>
            </w:r>
          </w:p>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20"/>
                <w:lang w:val="en-GB" w:eastAsia="en-GB"/>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Remaining Maximum Slice Data Rate for DL (per S-NSSAI)</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remaining maximum downlink data rate limited for a specific network slice (NOTE 1).</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Optional</w:t>
            </w:r>
          </w:p>
          <w:p>
            <w:pPr>
              <w:keepNext/>
              <w:keepLines/>
              <w:widowControl/>
              <w:overflowPunct w:val="0"/>
              <w:autoSpaceDE w:val="0"/>
              <w:autoSpaceDN w:val="0"/>
              <w:adjustRightInd w:val="0"/>
              <w:jc w:val="left"/>
              <w:textAlignment w:val="baseline"/>
              <w:rPr>
                <w:rFonts w:ascii="Arial" w:hAnsi="Arial" w:eastAsia="等线" w:cs="Times New Roman"/>
                <w:kern w:val="0"/>
                <w:sz w:val="18"/>
                <w:szCs w:val="18"/>
                <w:lang w:val="en-GB" w:eastAsia="en-GB"/>
              </w:rPr>
            </w:pPr>
            <w:r>
              <w:rPr>
                <w:rFonts w:ascii="Arial" w:hAnsi="Arial" w:eastAsia="等线" w:cs="Times New Roman"/>
                <w:kern w:val="0"/>
                <w:sz w:val="18"/>
                <w:szCs w:val="20"/>
                <w:lang w:val="en-GB" w:eastAsia="en-GB"/>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88" w:type="dxa"/>
            <w:gridSpan w:val="3"/>
          </w:tcPr>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 1:</w:t>
            </w:r>
            <w:r>
              <w:rPr>
                <w:rFonts w:ascii="Arial" w:hAnsi="Arial" w:eastAsia="等线" w:cs="Times New Roman"/>
                <w:kern w:val="0"/>
                <w:sz w:val="18"/>
                <w:szCs w:val="20"/>
                <w:lang w:val="en-GB" w:eastAsia="en-GB"/>
              </w:rPr>
              <w:tab/>
            </w:r>
            <w:r>
              <w:rPr>
                <w:rFonts w:ascii="Arial" w:hAnsi="Arial" w:eastAsia="等线" w:cs="Times New Roman"/>
                <w:kern w:val="0"/>
                <w:sz w:val="18"/>
                <w:szCs w:val="20"/>
                <w:lang w:val="en-GB" w:eastAsia="en-GB"/>
              </w:rPr>
              <w:t>The initial value is set to the Maximum Slice Data Rate for UL/DL value.</w:t>
            </w:r>
          </w:p>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 2:</w:t>
            </w:r>
            <w:r>
              <w:rPr>
                <w:rFonts w:ascii="Arial" w:hAnsi="Arial" w:eastAsia="等线" w:cs="Times New Roman"/>
                <w:kern w:val="0"/>
                <w:sz w:val="18"/>
                <w:szCs w:val="20"/>
                <w:lang w:val="en-GB" w:eastAsia="en-GB"/>
              </w:rPr>
              <w:tab/>
            </w:r>
            <w:r>
              <w:rPr>
                <w:rFonts w:ascii="Arial" w:hAnsi="Arial" w:eastAsia="等线" w:cs="Times New Roman"/>
                <w:kern w:val="0"/>
                <w:sz w:val="18"/>
                <w:szCs w:val="20"/>
                <w:lang w:val="en-GB" w:eastAsia="en-GB"/>
              </w:rPr>
              <w:t>The information is only used for limitation of data rate per network slice with assistance of the NWDAF.</w:t>
            </w:r>
          </w:p>
          <w:p>
            <w:pPr>
              <w:keepNext/>
              <w:keepLines/>
              <w:widowControl/>
              <w:overflowPunct w:val="0"/>
              <w:autoSpaceDE w:val="0"/>
              <w:autoSpaceDN w:val="0"/>
              <w:adjustRightInd w:val="0"/>
              <w:ind w:left="851" w:hanging="851"/>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NOTE 3:</w:t>
            </w:r>
            <w:r>
              <w:rPr>
                <w:rFonts w:ascii="Arial" w:hAnsi="Arial" w:eastAsia="等线" w:cs="Times New Roman"/>
                <w:kern w:val="0"/>
                <w:sz w:val="18"/>
                <w:szCs w:val="20"/>
                <w:lang w:val="en-GB" w:eastAsia="en-GB"/>
              </w:rPr>
              <w:tab/>
            </w:r>
            <w:r>
              <w:rPr>
                <w:rFonts w:ascii="Arial" w:hAnsi="Arial" w:eastAsia="等线" w:cs="Times New Roman"/>
                <w:kern w:val="0"/>
                <w:sz w:val="18"/>
                <w:szCs w:val="20"/>
                <w:lang w:val="en-GB" w:eastAsia="en-GB"/>
              </w:rPr>
              <w:t>The information is only used for limitation of data rate per network slice with PCF based monitoring.</w:t>
            </w:r>
          </w:p>
        </w:tc>
      </w:tr>
    </w:tbl>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等线" w:cs="Times New Roman"/>
          <w:kern w:val="0"/>
          <w:sz w:val="20"/>
          <w:szCs w:val="20"/>
          <w:lang w:val="en-GB" w:eastAsia="en-GB"/>
        </w:rPr>
      </w:pPr>
      <w:r>
        <w:rPr>
          <w:rFonts w:ascii="Times New Roman" w:hAnsi="Times New Roman" w:eastAsia="等线" w:cs="Times New Roman"/>
          <w:kern w:val="0"/>
          <w:sz w:val="20"/>
          <w:szCs w:val="20"/>
          <w:lang w:val="en-GB" w:eastAsia="en-GB"/>
        </w:rPr>
        <w:t>The policy control subscription profile information is per SUPI information, provided by the UDR using Nudr service for Data Set "Policy Data" and Data Subset " Access and Mobility policy control data" is described in Table 6.2-6:</w:t>
      </w:r>
    </w:p>
    <w:p>
      <w:pPr>
        <w:keepNext/>
        <w:keepLines/>
        <w:widowControl/>
        <w:overflowPunct w:val="0"/>
        <w:autoSpaceDE w:val="0"/>
        <w:autoSpaceDN w:val="0"/>
        <w:adjustRightInd w:val="0"/>
        <w:spacing w:before="60" w:after="180"/>
        <w:jc w:val="center"/>
        <w:textAlignment w:val="baseline"/>
        <w:rPr>
          <w:rFonts w:ascii="Arial" w:hAnsi="Arial" w:eastAsia="等线" w:cs="Times New Roman"/>
          <w:b/>
          <w:kern w:val="0"/>
          <w:sz w:val="20"/>
          <w:szCs w:val="20"/>
          <w:lang w:val="en-GB" w:eastAsia="en-GB"/>
        </w:rPr>
      </w:pPr>
      <w:r>
        <w:rPr>
          <w:rFonts w:ascii="Arial" w:hAnsi="Arial" w:eastAsia="等线" w:cs="Times New Roman"/>
          <w:b/>
          <w:kern w:val="0"/>
          <w:sz w:val="20"/>
          <w:szCs w:val="20"/>
          <w:lang w:val="en-GB" w:eastAsia="en-GB"/>
        </w:rPr>
        <w:t>Table 6.2-6: Access and Mobility policy control subscription information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093"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Information name</w:t>
            </w:r>
          </w:p>
        </w:tc>
        <w:tc>
          <w:tcPr>
            <w:tcW w:w="4961"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Description</w:t>
            </w:r>
          </w:p>
        </w:tc>
        <w:tc>
          <w:tcPr>
            <w:tcW w:w="1134" w:type="dxa"/>
          </w:tcPr>
          <w:p>
            <w:pPr>
              <w:keepNext/>
              <w:keepLines/>
              <w:widowControl/>
              <w:overflowPunct w:val="0"/>
              <w:autoSpaceDE w:val="0"/>
              <w:autoSpaceDN w:val="0"/>
              <w:adjustRightInd w:val="0"/>
              <w:jc w:val="center"/>
              <w:textAlignment w:val="baseline"/>
              <w:rPr>
                <w:rFonts w:ascii="Arial" w:hAnsi="Arial" w:eastAsia="等线" w:cs="Times New Roman"/>
                <w:b/>
                <w:kern w:val="0"/>
                <w:sz w:val="18"/>
                <w:szCs w:val="20"/>
                <w:lang w:val="en-GB" w:eastAsia="en-GB"/>
              </w:rPr>
            </w:pPr>
            <w:r>
              <w:rPr>
                <w:rFonts w:ascii="Arial" w:hAnsi="Arial" w:eastAsia="等线" w:cs="Times New Roman"/>
                <w:b/>
                <w:kern w:val="0"/>
                <w:sz w:val="18"/>
                <w:szCs w:val="20"/>
                <w:lang w:val="en-GB" w:eastAsia="en-GB"/>
              </w:rPr>
              <w:t>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Subscriber spending limits control</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Indicates whether the PCF must enforce Access and Mobility management related policies based on subscriber spending limits.</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93"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CHF address</w:t>
            </w:r>
          </w:p>
        </w:tc>
        <w:tc>
          <w:tcPr>
            <w:tcW w:w="4961"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The address of the Charging Function and optionally the associated CHF instance ID and CHF set ID (see clause 6.3.1.0 of TS 23.501 [2]).</w:t>
            </w:r>
          </w:p>
        </w:tc>
        <w:tc>
          <w:tcPr>
            <w:tcW w:w="1134" w:type="dxa"/>
          </w:tcPr>
          <w:p>
            <w:pPr>
              <w:keepNext/>
              <w:keepLines/>
              <w:widowControl/>
              <w:overflowPunct w:val="0"/>
              <w:autoSpaceDE w:val="0"/>
              <w:autoSpaceDN w:val="0"/>
              <w:adjustRightInd w:val="0"/>
              <w:jc w:val="left"/>
              <w:textAlignment w:val="baseline"/>
              <w:rPr>
                <w:rFonts w:ascii="Arial" w:hAnsi="Arial" w:eastAsia="等线" w:cs="Times New Roman"/>
                <w:kern w:val="0"/>
                <w:sz w:val="18"/>
                <w:szCs w:val="20"/>
                <w:lang w:val="en-GB" w:eastAsia="en-GB"/>
              </w:rPr>
            </w:pPr>
            <w:r>
              <w:rPr>
                <w:rFonts w:ascii="Arial" w:hAnsi="Arial" w:eastAsia="等线" w:cs="Times New Roman"/>
                <w:kern w:val="0"/>
                <w:sz w:val="18"/>
                <w:szCs w:val="20"/>
                <w:lang w:val="en-GB" w:eastAsia="en-GB"/>
              </w:rPr>
              <w:t>Optional</w:t>
            </w:r>
          </w:p>
        </w:tc>
      </w:tr>
    </w:tbl>
    <w:p>
      <w:pPr>
        <w:pStyle w:val="27"/>
        <w:rPr>
          <w:ins w:id="3" w:author="China Telecom" w:date="2023-09-21T17:10:00Z"/>
        </w:rPr>
      </w:pPr>
    </w:p>
    <w:p>
      <w:pPr>
        <w:widowControl/>
        <w:overflowPunct w:val="0"/>
        <w:autoSpaceDE w:val="0"/>
        <w:autoSpaceDN w:val="0"/>
        <w:adjustRightInd w:val="0"/>
        <w:spacing w:after="180"/>
        <w:jc w:val="left"/>
        <w:textAlignment w:val="baseline"/>
        <w:rPr>
          <w:ins w:id="4" w:author="China Telecom" w:date="2023-09-21T17:10:00Z"/>
          <w:rFonts w:ascii="Times New Roman" w:hAnsi="Times New Roman" w:eastAsia="等线" w:cs="Times New Roman"/>
          <w:kern w:val="0"/>
          <w:sz w:val="20"/>
          <w:szCs w:val="20"/>
          <w:lang w:val="en-GB" w:eastAsia="en-GB"/>
        </w:rPr>
      </w:pPr>
      <w:ins w:id="5" w:author="China Telecom" w:date="2023-09-21T17:10:00Z">
        <w:r>
          <w:rPr>
            <w:rFonts w:ascii="Times New Roman" w:hAnsi="Times New Roman" w:eastAsia="等线" w:cs="Times New Roman"/>
            <w:kern w:val="0"/>
            <w:sz w:val="20"/>
            <w:szCs w:val="20"/>
            <w:lang w:val="en-GB" w:eastAsia="en-GB"/>
          </w:rPr>
          <w:t xml:space="preserve">The </w:t>
        </w:r>
      </w:ins>
      <w:ins w:id="6" w:author="China Telecom" w:date="2023-09-21T17:11:00Z">
        <w:r>
          <w:rPr>
            <w:rFonts w:ascii="Times New Roman" w:hAnsi="Times New Roman" w:eastAsia="等线" w:cs="Times New Roman"/>
            <w:kern w:val="0"/>
            <w:sz w:val="20"/>
            <w:szCs w:val="20"/>
            <w:lang w:val="en-GB" w:eastAsia="en-GB"/>
          </w:rPr>
          <w:t>group</w:t>
        </w:r>
      </w:ins>
      <w:ins w:id="7" w:author="China Telecom" w:date="2023-09-21T17:10:00Z">
        <w:r>
          <w:rPr>
            <w:rFonts w:ascii="Times New Roman" w:hAnsi="Times New Roman" w:eastAsia="等线" w:cs="Times New Roman"/>
            <w:kern w:val="0"/>
            <w:sz w:val="20"/>
            <w:szCs w:val="20"/>
            <w:lang w:val="en-GB" w:eastAsia="en-GB"/>
          </w:rPr>
          <w:t xml:space="preserve"> specific policy control information is per </w:t>
        </w:r>
      </w:ins>
      <w:ins w:id="8" w:author="China Telecom" w:date="2023-09-21T17:11:00Z">
        <w:r>
          <w:rPr>
            <w:rFonts w:ascii="Times New Roman" w:hAnsi="Times New Roman" w:eastAsia="等线" w:cs="Times New Roman"/>
            <w:kern w:val="0"/>
            <w:sz w:val="20"/>
            <w:szCs w:val="20"/>
            <w:lang w:val="en-GB" w:eastAsia="en-GB"/>
          </w:rPr>
          <w:t>group</w:t>
        </w:r>
      </w:ins>
      <w:ins w:id="9" w:author="China Telecom" w:date="2023-09-21T17:10:00Z">
        <w:r>
          <w:rPr>
            <w:rFonts w:ascii="Times New Roman" w:hAnsi="Times New Roman" w:eastAsia="等线" w:cs="Times New Roman"/>
            <w:kern w:val="0"/>
            <w:sz w:val="20"/>
            <w:szCs w:val="20"/>
            <w:lang w:val="en-GB" w:eastAsia="en-GB"/>
          </w:rPr>
          <w:t xml:space="preserve"> information stored by the UDR and updated by the PCF during PDU Session Establishment or Modification procedure using Nudr service for Data Set "Policy Data" and Data Subset "</w:t>
        </w:r>
      </w:ins>
      <w:ins w:id="10" w:author="China Telecom" w:date="2023-09-21T17:11:00Z">
        <w:r>
          <w:rPr>
            <w:rFonts w:ascii="Times New Roman" w:hAnsi="Times New Roman" w:eastAsia="等线" w:cs="Times New Roman"/>
            <w:kern w:val="0"/>
            <w:sz w:val="20"/>
            <w:szCs w:val="20"/>
            <w:lang w:val="en-GB" w:eastAsia="en-GB"/>
          </w:rPr>
          <w:t>Group</w:t>
        </w:r>
      </w:ins>
      <w:ins w:id="11" w:author="China Telecom" w:date="2023-09-21T17:10:00Z">
        <w:r>
          <w:rPr>
            <w:rFonts w:ascii="Times New Roman" w:hAnsi="Times New Roman" w:eastAsia="等线" w:cs="Times New Roman"/>
            <w:kern w:val="0"/>
            <w:sz w:val="20"/>
            <w:szCs w:val="20"/>
            <w:lang w:val="en-GB" w:eastAsia="en-GB"/>
          </w:rPr>
          <w:t xml:space="preserve"> Specific Control Data" is described in Table 6.2-</w:t>
        </w:r>
      </w:ins>
      <w:ins w:id="12" w:author="China Telecom" w:date="2023-09-21T17:12:00Z">
        <w:r>
          <w:rPr>
            <w:rFonts w:ascii="Times New Roman" w:hAnsi="Times New Roman" w:eastAsia="等线" w:cs="Times New Roman"/>
            <w:kern w:val="0"/>
            <w:sz w:val="20"/>
            <w:szCs w:val="20"/>
            <w:lang w:val="en-GB" w:eastAsia="en-GB"/>
          </w:rPr>
          <w:t>X</w:t>
        </w:r>
      </w:ins>
      <w:ins w:id="13" w:author="China Telecom" w:date="2023-09-21T17:10:00Z">
        <w:r>
          <w:rPr>
            <w:rFonts w:ascii="Times New Roman" w:hAnsi="Times New Roman" w:eastAsia="等线" w:cs="Times New Roman"/>
            <w:kern w:val="0"/>
            <w:sz w:val="20"/>
            <w:szCs w:val="20"/>
            <w:lang w:val="en-GB" w:eastAsia="en-GB"/>
          </w:rPr>
          <w:t>:</w:t>
        </w:r>
      </w:ins>
    </w:p>
    <w:p>
      <w:pPr>
        <w:keepNext/>
        <w:keepLines/>
        <w:widowControl/>
        <w:overflowPunct w:val="0"/>
        <w:autoSpaceDE w:val="0"/>
        <w:autoSpaceDN w:val="0"/>
        <w:adjustRightInd w:val="0"/>
        <w:spacing w:before="60" w:after="180"/>
        <w:jc w:val="center"/>
        <w:textAlignment w:val="baseline"/>
        <w:rPr>
          <w:ins w:id="14" w:author="China Telecom" w:date="2023-09-21T17:06:00Z"/>
          <w:rFonts w:ascii="Arial" w:hAnsi="Arial" w:eastAsia="等线" w:cs="Times New Roman"/>
          <w:b/>
          <w:kern w:val="0"/>
          <w:sz w:val="20"/>
          <w:szCs w:val="20"/>
          <w:lang w:val="en-GB" w:eastAsia="en-GB"/>
        </w:rPr>
      </w:pPr>
      <w:ins w:id="15" w:author="China Telecom" w:date="2023-09-21T17:06:00Z">
        <w:r>
          <w:rPr>
            <w:rFonts w:ascii="Arial" w:hAnsi="Arial" w:eastAsia="等线" w:cs="Times New Roman"/>
            <w:b/>
            <w:kern w:val="0"/>
            <w:sz w:val="20"/>
            <w:szCs w:val="20"/>
            <w:lang w:val="en-GB" w:eastAsia="en-GB"/>
          </w:rPr>
          <w:t>Table 6.2-</w:t>
        </w:r>
      </w:ins>
      <w:ins w:id="16" w:author="China Telecom" w:date="2023-09-21T17:10:00Z">
        <w:r>
          <w:rPr>
            <w:rFonts w:ascii="Arial" w:hAnsi="Arial" w:eastAsia="等线" w:cs="Times New Roman"/>
            <w:b/>
            <w:kern w:val="0"/>
            <w:sz w:val="20"/>
            <w:szCs w:val="20"/>
            <w:lang w:val="en-GB" w:eastAsia="en-GB"/>
          </w:rPr>
          <w:t>X</w:t>
        </w:r>
      </w:ins>
      <w:ins w:id="17" w:author="China Telecom" w:date="2023-09-21T17:06:00Z">
        <w:r>
          <w:rPr>
            <w:rFonts w:ascii="Arial" w:hAnsi="Arial" w:eastAsia="等线" w:cs="Times New Roman"/>
            <w:b/>
            <w:kern w:val="0"/>
            <w:sz w:val="20"/>
            <w:szCs w:val="20"/>
            <w:lang w:val="en-GB" w:eastAsia="en-GB"/>
          </w:rPr>
          <w:t xml:space="preserve">: </w:t>
        </w:r>
      </w:ins>
      <w:ins w:id="18" w:author="China Telecom" w:date="2023-09-21T17:07:00Z">
        <w:r>
          <w:rPr>
            <w:rFonts w:ascii="Arial" w:hAnsi="Arial" w:eastAsia="等线" w:cs="Times New Roman"/>
            <w:b/>
            <w:kern w:val="0"/>
            <w:sz w:val="20"/>
            <w:szCs w:val="20"/>
            <w:lang w:val="en-GB" w:eastAsia="en-GB"/>
          </w:rPr>
          <w:t>Group</w:t>
        </w:r>
      </w:ins>
      <w:ins w:id="19" w:author="China Telecom" w:date="2023-09-22T17:33:00Z">
        <w:r>
          <w:rPr>
            <w:rFonts w:ascii="Arial" w:hAnsi="Arial" w:eastAsia="等线" w:cs="Times New Roman"/>
            <w:b/>
            <w:kern w:val="0"/>
            <w:sz w:val="20"/>
            <w:szCs w:val="20"/>
            <w:lang w:val="en-GB" w:eastAsia="en-GB"/>
          </w:rPr>
          <w:t xml:space="preserve"> </w:t>
        </w:r>
      </w:ins>
      <w:ins w:id="20" w:author="China Telecom" w:date="2023-09-21T17:07:00Z">
        <w:r>
          <w:rPr>
            <w:rFonts w:ascii="Arial" w:hAnsi="Arial" w:eastAsia="等线" w:cs="Times New Roman"/>
            <w:b/>
            <w:kern w:val="0"/>
            <w:sz w:val="20"/>
            <w:szCs w:val="20"/>
            <w:lang w:val="en-GB" w:eastAsia="en-GB"/>
          </w:rPr>
          <w:t>specific policy control information</w:t>
        </w:r>
      </w:ins>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496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ins w:id="21" w:author="China Telecom" w:date="2023-09-21T17:06:00Z"/>
        </w:trPr>
        <w:tc>
          <w:tcPr>
            <w:tcW w:w="2093" w:type="dxa"/>
          </w:tcPr>
          <w:p>
            <w:pPr>
              <w:keepNext/>
              <w:keepLines/>
              <w:widowControl/>
              <w:overflowPunct w:val="0"/>
              <w:autoSpaceDE w:val="0"/>
              <w:autoSpaceDN w:val="0"/>
              <w:adjustRightInd w:val="0"/>
              <w:jc w:val="center"/>
              <w:textAlignment w:val="baseline"/>
              <w:rPr>
                <w:ins w:id="22" w:author="China Telecom" w:date="2023-09-21T17:06:00Z"/>
                <w:rFonts w:ascii="Arial" w:hAnsi="Arial" w:eastAsia="等线" w:cs="Times New Roman"/>
                <w:b/>
                <w:kern w:val="0"/>
                <w:sz w:val="18"/>
                <w:szCs w:val="20"/>
                <w:lang w:val="en-GB" w:eastAsia="en-GB"/>
              </w:rPr>
            </w:pPr>
            <w:ins w:id="23" w:author="China Telecom" w:date="2023-09-21T17:06:00Z">
              <w:r>
                <w:rPr>
                  <w:rFonts w:ascii="Arial" w:hAnsi="Arial" w:eastAsia="等线" w:cs="Times New Roman"/>
                  <w:b/>
                  <w:kern w:val="0"/>
                  <w:sz w:val="18"/>
                  <w:szCs w:val="20"/>
                  <w:lang w:val="en-GB" w:eastAsia="en-GB"/>
                </w:rPr>
                <w:t>Information name</w:t>
              </w:r>
            </w:ins>
          </w:p>
        </w:tc>
        <w:tc>
          <w:tcPr>
            <w:tcW w:w="4961" w:type="dxa"/>
          </w:tcPr>
          <w:p>
            <w:pPr>
              <w:keepNext/>
              <w:keepLines/>
              <w:widowControl/>
              <w:overflowPunct w:val="0"/>
              <w:autoSpaceDE w:val="0"/>
              <w:autoSpaceDN w:val="0"/>
              <w:adjustRightInd w:val="0"/>
              <w:jc w:val="center"/>
              <w:textAlignment w:val="baseline"/>
              <w:rPr>
                <w:ins w:id="24" w:author="China Telecom" w:date="2023-09-21T17:06:00Z"/>
                <w:rFonts w:ascii="Arial" w:hAnsi="Arial" w:eastAsia="等线" w:cs="Times New Roman"/>
                <w:b/>
                <w:kern w:val="0"/>
                <w:sz w:val="18"/>
                <w:szCs w:val="20"/>
                <w:lang w:val="en-GB" w:eastAsia="en-GB"/>
              </w:rPr>
            </w:pPr>
            <w:ins w:id="25" w:author="China Telecom" w:date="2023-09-21T17:06:00Z">
              <w:r>
                <w:rPr>
                  <w:rFonts w:ascii="Arial" w:hAnsi="Arial" w:eastAsia="等线" w:cs="Times New Roman"/>
                  <w:b/>
                  <w:kern w:val="0"/>
                  <w:sz w:val="18"/>
                  <w:szCs w:val="20"/>
                  <w:lang w:val="en-GB" w:eastAsia="en-GB"/>
                </w:rPr>
                <w:t>Description</w:t>
              </w:r>
            </w:ins>
          </w:p>
        </w:tc>
        <w:tc>
          <w:tcPr>
            <w:tcW w:w="1134" w:type="dxa"/>
          </w:tcPr>
          <w:p>
            <w:pPr>
              <w:keepNext/>
              <w:keepLines/>
              <w:widowControl/>
              <w:overflowPunct w:val="0"/>
              <w:autoSpaceDE w:val="0"/>
              <w:autoSpaceDN w:val="0"/>
              <w:adjustRightInd w:val="0"/>
              <w:jc w:val="center"/>
              <w:textAlignment w:val="baseline"/>
              <w:rPr>
                <w:ins w:id="26" w:author="China Telecom" w:date="2023-09-21T17:06:00Z"/>
                <w:rFonts w:ascii="Arial" w:hAnsi="Arial" w:eastAsia="等线" w:cs="Times New Roman"/>
                <w:b/>
                <w:kern w:val="0"/>
                <w:sz w:val="18"/>
                <w:szCs w:val="20"/>
                <w:lang w:val="en-GB" w:eastAsia="en-GB"/>
              </w:rPr>
            </w:pPr>
            <w:ins w:id="27" w:author="China Telecom" w:date="2023-09-21T17:06:00Z">
              <w:r>
                <w:rPr>
                  <w:rFonts w:ascii="Arial" w:hAnsi="Arial" w:eastAsia="等线" w:cs="Times New Roman"/>
                  <w:b/>
                  <w:kern w:val="0"/>
                  <w:sz w:val="18"/>
                  <w:szCs w:val="20"/>
                  <w:lang w:val="en-GB" w:eastAsia="en-GB"/>
                </w:rPr>
                <w:t>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8" w:author="China Telecom" w:date="2023-09-21T17:06:00Z"/>
        </w:trPr>
        <w:tc>
          <w:tcPr>
            <w:tcW w:w="2093" w:type="dxa"/>
          </w:tcPr>
          <w:p>
            <w:pPr>
              <w:keepNext/>
              <w:keepLines/>
              <w:widowControl/>
              <w:overflowPunct w:val="0"/>
              <w:autoSpaceDE w:val="0"/>
              <w:autoSpaceDN w:val="0"/>
              <w:adjustRightInd w:val="0"/>
              <w:jc w:val="left"/>
              <w:textAlignment w:val="baseline"/>
              <w:rPr>
                <w:ins w:id="29" w:author="China Telecom" w:date="2023-09-21T17:06:00Z"/>
                <w:rFonts w:ascii="Arial" w:hAnsi="Arial" w:eastAsia="等线" w:cs="Times New Roman"/>
                <w:kern w:val="0"/>
                <w:sz w:val="18"/>
                <w:szCs w:val="20"/>
                <w:lang w:val="en-GB" w:eastAsia="en-GB"/>
              </w:rPr>
            </w:pPr>
            <w:ins w:id="30" w:author="China Telecom" w:date="2023-09-21T17:06:00Z">
              <w:r>
                <w:rPr>
                  <w:rFonts w:ascii="Arial" w:hAnsi="Arial" w:eastAsia="等线" w:cs="Times New Roman"/>
                  <w:kern w:val="0"/>
                  <w:sz w:val="18"/>
                  <w:szCs w:val="20"/>
                  <w:lang w:val="en-GB" w:eastAsia="en-GB"/>
                </w:rPr>
                <w:t xml:space="preserve">Remaining Maximum </w:t>
              </w:r>
            </w:ins>
            <w:ins w:id="31" w:author="China Telecom" w:date="2023-09-21T17:07:00Z">
              <w:r>
                <w:rPr>
                  <w:rFonts w:ascii="Arial" w:hAnsi="Arial" w:eastAsia="等线" w:cs="Times New Roman"/>
                  <w:kern w:val="0"/>
                  <w:sz w:val="18"/>
                  <w:szCs w:val="20"/>
                  <w:lang w:val="en-GB" w:eastAsia="en-GB"/>
                </w:rPr>
                <w:t>Group</w:t>
              </w:r>
            </w:ins>
            <w:ins w:id="32" w:author="China Telecom" w:date="2023-09-21T17:06:00Z">
              <w:r>
                <w:rPr>
                  <w:rFonts w:ascii="Arial" w:hAnsi="Arial" w:eastAsia="等线" w:cs="Times New Roman"/>
                  <w:kern w:val="0"/>
                  <w:sz w:val="18"/>
                  <w:szCs w:val="20"/>
                  <w:lang w:val="en-GB" w:eastAsia="en-GB"/>
                </w:rPr>
                <w:t xml:space="preserve"> Data Rate for UL</w:t>
              </w:r>
            </w:ins>
          </w:p>
        </w:tc>
        <w:tc>
          <w:tcPr>
            <w:tcW w:w="4961" w:type="dxa"/>
          </w:tcPr>
          <w:p>
            <w:pPr>
              <w:keepNext/>
              <w:keepLines/>
              <w:widowControl/>
              <w:overflowPunct w:val="0"/>
              <w:autoSpaceDE w:val="0"/>
              <w:autoSpaceDN w:val="0"/>
              <w:adjustRightInd w:val="0"/>
              <w:jc w:val="left"/>
              <w:textAlignment w:val="baseline"/>
              <w:rPr>
                <w:ins w:id="33" w:author="China Telecom" w:date="2023-09-21T17:06:00Z"/>
                <w:rFonts w:ascii="Arial" w:hAnsi="Arial" w:eastAsia="等线" w:cs="Times New Roman"/>
                <w:kern w:val="0"/>
                <w:sz w:val="18"/>
                <w:szCs w:val="20"/>
                <w:lang w:val="en-GB" w:eastAsia="en-GB"/>
              </w:rPr>
            </w:pPr>
            <w:ins w:id="34" w:author="China Telecom" w:date="2023-09-21T17:06:00Z">
              <w:r>
                <w:rPr>
                  <w:rFonts w:ascii="Arial" w:hAnsi="Arial" w:eastAsia="等线" w:cs="Times New Roman"/>
                  <w:kern w:val="0"/>
                  <w:sz w:val="18"/>
                  <w:szCs w:val="20"/>
                  <w:lang w:val="en-GB" w:eastAsia="en-GB"/>
                </w:rPr>
                <w:t xml:space="preserve">The remaining maximum uplink data rate for the specific </w:t>
              </w:r>
            </w:ins>
            <w:ins w:id="35" w:author="China Telecom" w:date="2023-09-21T17:08:00Z">
              <w:r>
                <w:rPr>
                  <w:rFonts w:ascii="Arial" w:hAnsi="Arial" w:eastAsia="等线" w:cs="Times New Roman"/>
                  <w:kern w:val="0"/>
                  <w:sz w:val="18"/>
                  <w:szCs w:val="20"/>
                  <w:lang w:val="en-GB" w:eastAsia="en-GB"/>
                </w:rPr>
                <w:t>group</w:t>
              </w:r>
            </w:ins>
            <w:ins w:id="36" w:author="China Telecom" w:date="2023-09-21T17:06:00Z">
              <w:r>
                <w:rPr>
                  <w:rFonts w:ascii="Arial" w:hAnsi="Arial" w:eastAsia="等线" w:cs="Times New Roman"/>
                  <w:kern w:val="0"/>
                  <w:sz w:val="18"/>
                  <w:szCs w:val="20"/>
                  <w:lang w:val="en-GB" w:eastAsia="en-GB"/>
                </w:rPr>
                <w:t xml:space="preserve"> (NOTE 1).</w:t>
              </w:r>
            </w:ins>
          </w:p>
        </w:tc>
        <w:tc>
          <w:tcPr>
            <w:tcW w:w="1134" w:type="dxa"/>
          </w:tcPr>
          <w:p>
            <w:pPr>
              <w:keepNext/>
              <w:keepLines/>
              <w:widowControl/>
              <w:overflowPunct w:val="0"/>
              <w:autoSpaceDE w:val="0"/>
              <w:autoSpaceDN w:val="0"/>
              <w:adjustRightInd w:val="0"/>
              <w:jc w:val="left"/>
              <w:textAlignment w:val="baseline"/>
              <w:rPr>
                <w:ins w:id="37" w:author="China Telecom" w:date="2023-09-21T17:06:00Z"/>
                <w:rFonts w:ascii="Arial" w:hAnsi="Arial" w:eastAsia="等线" w:cs="Times New Roman"/>
                <w:kern w:val="0"/>
                <w:sz w:val="18"/>
                <w:szCs w:val="20"/>
                <w:lang w:val="en-GB" w:eastAsia="en-GB"/>
              </w:rPr>
            </w:pPr>
            <w:ins w:id="38" w:author="China Telecom" w:date="2023-09-21T17:06:00Z">
              <w:r>
                <w:rPr>
                  <w:rFonts w:ascii="Arial" w:hAnsi="Arial" w:eastAsia="等线" w:cs="Times New Roman"/>
                  <w:kern w:val="0"/>
                  <w:sz w:val="18"/>
                  <w:szCs w:val="20"/>
                  <w:lang w:val="en-GB" w:eastAsia="en-GB"/>
                </w:rPr>
                <w:t>Optional</w:t>
              </w:r>
            </w:ins>
          </w:p>
          <w:p>
            <w:pPr>
              <w:keepNext/>
              <w:keepLines/>
              <w:widowControl/>
              <w:overflowPunct w:val="0"/>
              <w:autoSpaceDE w:val="0"/>
              <w:autoSpaceDN w:val="0"/>
              <w:adjustRightInd w:val="0"/>
              <w:jc w:val="left"/>
              <w:textAlignment w:val="baseline"/>
              <w:rPr>
                <w:ins w:id="39" w:author="China Telecom" w:date="2023-09-21T17:06:00Z"/>
                <w:rFonts w:ascii="Arial" w:hAnsi="Arial" w:eastAsia="等线" w:cs="Times New Roman"/>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 w:author="China Telecom" w:date="2023-09-21T17:06:00Z"/>
        </w:trPr>
        <w:tc>
          <w:tcPr>
            <w:tcW w:w="2093" w:type="dxa"/>
          </w:tcPr>
          <w:p>
            <w:pPr>
              <w:keepNext/>
              <w:keepLines/>
              <w:widowControl/>
              <w:overflowPunct w:val="0"/>
              <w:autoSpaceDE w:val="0"/>
              <w:autoSpaceDN w:val="0"/>
              <w:adjustRightInd w:val="0"/>
              <w:jc w:val="left"/>
              <w:textAlignment w:val="baseline"/>
              <w:rPr>
                <w:ins w:id="41" w:author="China Telecom" w:date="2023-09-21T17:06:00Z"/>
                <w:rFonts w:ascii="Arial" w:hAnsi="Arial" w:eastAsia="等线" w:cs="Times New Roman"/>
                <w:kern w:val="0"/>
                <w:sz w:val="18"/>
                <w:szCs w:val="20"/>
                <w:lang w:val="en-GB" w:eastAsia="en-GB"/>
              </w:rPr>
            </w:pPr>
            <w:ins w:id="42" w:author="China Telecom" w:date="2023-09-21T17:06:00Z">
              <w:r>
                <w:rPr>
                  <w:rFonts w:ascii="Arial" w:hAnsi="Arial" w:eastAsia="等线" w:cs="Times New Roman"/>
                  <w:kern w:val="0"/>
                  <w:sz w:val="18"/>
                  <w:szCs w:val="20"/>
                  <w:lang w:val="en-GB" w:eastAsia="en-GB"/>
                </w:rPr>
                <w:t xml:space="preserve">Remaining Maximum </w:t>
              </w:r>
            </w:ins>
            <w:ins w:id="43" w:author="China Telecom" w:date="2023-09-21T17:07:00Z">
              <w:r>
                <w:rPr>
                  <w:rFonts w:ascii="Arial" w:hAnsi="Arial" w:eastAsia="等线" w:cs="Times New Roman"/>
                  <w:kern w:val="0"/>
                  <w:sz w:val="18"/>
                  <w:szCs w:val="20"/>
                  <w:lang w:val="en-GB" w:eastAsia="en-GB"/>
                </w:rPr>
                <w:t>Group</w:t>
              </w:r>
            </w:ins>
            <w:ins w:id="44" w:author="China Telecom" w:date="2023-09-21T17:06:00Z">
              <w:r>
                <w:rPr>
                  <w:rFonts w:ascii="Arial" w:hAnsi="Arial" w:eastAsia="等线" w:cs="Times New Roman"/>
                  <w:kern w:val="0"/>
                  <w:sz w:val="18"/>
                  <w:szCs w:val="20"/>
                  <w:lang w:val="en-GB" w:eastAsia="en-GB"/>
                </w:rPr>
                <w:t xml:space="preserve"> Data Rate for DL </w:t>
              </w:r>
            </w:ins>
          </w:p>
        </w:tc>
        <w:tc>
          <w:tcPr>
            <w:tcW w:w="4961" w:type="dxa"/>
          </w:tcPr>
          <w:p>
            <w:pPr>
              <w:keepNext/>
              <w:keepLines/>
              <w:widowControl/>
              <w:overflowPunct w:val="0"/>
              <w:autoSpaceDE w:val="0"/>
              <w:autoSpaceDN w:val="0"/>
              <w:adjustRightInd w:val="0"/>
              <w:jc w:val="left"/>
              <w:textAlignment w:val="baseline"/>
              <w:rPr>
                <w:ins w:id="45" w:author="China Telecom" w:date="2023-09-21T17:06:00Z"/>
                <w:rFonts w:ascii="Arial" w:hAnsi="Arial" w:eastAsia="等线" w:cs="Times New Roman"/>
                <w:kern w:val="0"/>
                <w:sz w:val="18"/>
                <w:szCs w:val="20"/>
                <w:lang w:val="en-GB" w:eastAsia="en-GB"/>
              </w:rPr>
            </w:pPr>
            <w:ins w:id="46" w:author="China Telecom" w:date="2023-09-21T17:06:00Z">
              <w:r>
                <w:rPr>
                  <w:rFonts w:ascii="Arial" w:hAnsi="Arial" w:eastAsia="等线" w:cs="Times New Roman"/>
                  <w:kern w:val="0"/>
                  <w:sz w:val="18"/>
                  <w:szCs w:val="20"/>
                  <w:lang w:val="en-GB" w:eastAsia="en-GB"/>
                </w:rPr>
                <w:t xml:space="preserve">The remaining maximum downlink data rate limited for a specific </w:t>
              </w:r>
            </w:ins>
            <w:ins w:id="47" w:author="China Telecom" w:date="2023-09-21T17:08:00Z">
              <w:r>
                <w:rPr>
                  <w:rFonts w:ascii="Arial" w:hAnsi="Arial" w:eastAsia="等线" w:cs="Times New Roman"/>
                  <w:kern w:val="0"/>
                  <w:sz w:val="18"/>
                  <w:szCs w:val="20"/>
                  <w:lang w:val="en-GB" w:eastAsia="en-GB"/>
                </w:rPr>
                <w:t>group</w:t>
              </w:r>
            </w:ins>
            <w:ins w:id="48" w:author="China Telecom" w:date="2023-09-21T17:06:00Z">
              <w:r>
                <w:rPr>
                  <w:rFonts w:ascii="Arial" w:hAnsi="Arial" w:eastAsia="等线" w:cs="Times New Roman"/>
                  <w:kern w:val="0"/>
                  <w:sz w:val="18"/>
                  <w:szCs w:val="20"/>
                  <w:lang w:val="en-GB" w:eastAsia="en-GB"/>
                </w:rPr>
                <w:t xml:space="preserve"> (NOTE 1).</w:t>
              </w:r>
            </w:ins>
          </w:p>
        </w:tc>
        <w:tc>
          <w:tcPr>
            <w:tcW w:w="1134" w:type="dxa"/>
          </w:tcPr>
          <w:p>
            <w:pPr>
              <w:keepNext/>
              <w:keepLines/>
              <w:widowControl/>
              <w:overflowPunct w:val="0"/>
              <w:autoSpaceDE w:val="0"/>
              <w:autoSpaceDN w:val="0"/>
              <w:adjustRightInd w:val="0"/>
              <w:jc w:val="left"/>
              <w:textAlignment w:val="baseline"/>
              <w:rPr>
                <w:ins w:id="49" w:author="China Telecom" w:date="2023-09-21T17:06:00Z"/>
                <w:rFonts w:ascii="Arial" w:hAnsi="Arial" w:eastAsia="等线" w:cs="Times New Roman"/>
                <w:kern w:val="0"/>
                <w:sz w:val="18"/>
                <w:szCs w:val="20"/>
                <w:lang w:val="en-GB" w:eastAsia="en-GB"/>
              </w:rPr>
            </w:pPr>
            <w:ins w:id="50" w:author="China Telecom" w:date="2023-09-21T17:06:00Z">
              <w:r>
                <w:rPr>
                  <w:rFonts w:ascii="Arial" w:hAnsi="Arial" w:eastAsia="等线" w:cs="Times New Roman"/>
                  <w:kern w:val="0"/>
                  <w:sz w:val="18"/>
                  <w:szCs w:val="20"/>
                  <w:lang w:val="en-GB" w:eastAsia="en-GB"/>
                </w:rPr>
                <w:t>Optional</w:t>
              </w:r>
            </w:ins>
          </w:p>
          <w:p>
            <w:pPr>
              <w:keepNext/>
              <w:keepLines/>
              <w:widowControl/>
              <w:overflowPunct w:val="0"/>
              <w:autoSpaceDE w:val="0"/>
              <w:autoSpaceDN w:val="0"/>
              <w:adjustRightInd w:val="0"/>
              <w:jc w:val="left"/>
              <w:textAlignment w:val="baseline"/>
              <w:rPr>
                <w:ins w:id="51" w:author="China Telecom" w:date="2023-09-21T17:06:00Z"/>
                <w:rFonts w:ascii="Arial" w:hAnsi="Arial" w:eastAsia="等线" w:cs="Times New Roman"/>
                <w:kern w:val="0"/>
                <w:sz w:val="18"/>
                <w:szCs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 w:author="China Telecom" w:date="2023-09-21T17:06:00Z"/>
        </w:trPr>
        <w:tc>
          <w:tcPr>
            <w:tcW w:w="8188" w:type="dxa"/>
            <w:gridSpan w:val="3"/>
          </w:tcPr>
          <w:p>
            <w:pPr>
              <w:keepNext/>
              <w:keepLines/>
              <w:widowControl/>
              <w:overflowPunct w:val="0"/>
              <w:autoSpaceDE w:val="0"/>
              <w:autoSpaceDN w:val="0"/>
              <w:adjustRightInd w:val="0"/>
              <w:ind w:left="851" w:hanging="851"/>
              <w:jc w:val="left"/>
              <w:textAlignment w:val="baseline"/>
              <w:rPr>
                <w:ins w:id="53" w:author="China Telecom" w:date="2023-09-21T17:06:00Z"/>
                <w:rFonts w:ascii="Arial" w:hAnsi="Arial" w:eastAsia="等线" w:cs="Times New Roman"/>
                <w:kern w:val="0"/>
                <w:sz w:val="18"/>
                <w:szCs w:val="20"/>
                <w:lang w:val="en-GB" w:eastAsia="en-GB"/>
              </w:rPr>
            </w:pPr>
            <w:ins w:id="54" w:author="China Telecom" w:date="2023-09-21T17:06:00Z">
              <w:r>
                <w:rPr>
                  <w:rFonts w:ascii="Arial" w:hAnsi="Arial" w:eastAsia="等线" w:cs="Times New Roman"/>
                  <w:kern w:val="0"/>
                  <w:sz w:val="18"/>
                  <w:szCs w:val="20"/>
                  <w:lang w:val="en-GB" w:eastAsia="en-GB"/>
                </w:rPr>
                <w:t>NOTE 1:</w:t>
              </w:r>
            </w:ins>
            <w:ins w:id="55" w:author="China Telecom" w:date="2023-09-21T17:06:00Z">
              <w:r>
                <w:rPr>
                  <w:rFonts w:ascii="Arial" w:hAnsi="Arial" w:eastAsia="等线" w:cs="Times New Roman"/>
                  <w:kern w:val="0"/>
                  <w:sz w:val="18"/>
                  <w:szCs w:val="20"/>
                  <w:lang w:val="en-GB" w:eastAsia="en-GB"/>
                </w:rPr>
                <w:tab/>
              </w:r>
            </w:ins>
            <w:ins w:id="56" w:author="China Telecom" w:date="2023-09-21T17:06:00Z">
              <w:r>
                <w:rPr>
                  <w:rFonts w:ascii="Arial" w:hAnsi="Arial" w:eastAsia="等线" w:cs="Times New Roman"/>
                  <w:kern w:val="0"/>
                  <w:sz w:val="18"/>
                  <w:szCs w:val="20"/>
                  <w:lang w:val="en-GB" w:eastAsia="en-GB"/>
                </w:rPr>
                <w:t xml:space="preserve">The initial value is set to the Maximum </w:t>
              </w:r>
            </w:ins>
            <w:ins w:id="57" w:author="China Telecom" w:date="2023-09-21T17:08:00Z">
              <w:r>
                <w:rPr>
                  <w:rFonts w:ascii="Arial" w:hAnsi="Arial" w:eastAsia="等线" w:cs="Times New Roman"/>
                  <w:kern w:val="0"/>
                  <w:sz w:val="18"/>
                  <w:szCs w:val="20"/>
                  <w:lang w:val="en-GB" w:eastAsia="en-GB"/>
                </w:rPr>
                <w:t>Group</w:t>
              </w:r>
            </w:ins>
            <w:ins w:id="58" w:author="China Telecom" w:date="2023-09-21T17:06:00Z">
              <w:r>
                <w:rPr>
                  <w:rFonts w:ascii="Arial" w:hAnsi="Arial" w:eastAsia="等线" w:cs="Times New Roman"/>
                  <w:kern w:val="0"/>
                  <w:sz w:val="18"/>
                  <w:szCs w:val="20"/>
                  <w:lang w:val="en-GB" w:eastAsia="en-GB"/>
                </w:rPr>
                <w:t xml:space="preserve"> Data Rate for UL/DL value.</w:t>
              </w:r>
            </w:ins>
          </w:p>
        </w:tc>
      </w:tr>
    </w:tbl>
    <w:p>
      <w:pPr>
        <w:widowControl/>
        <w:spacing w:after="180"/>
        <w:jc w:val="left"/>
        <w:rPr>
          <w:rFonts w:ascii="Times New Roman" w:hAnsi="Times New Roman" w:eastAsia="宋体" w:cs="Times New Roman"/>
          <w:kern w:val="0"/>
          <w:sz w:val="20"/>
          <w:szCs w:val="20"/>
          <w:lang w:val="en-GB" w:eastAsia="en-US"/>
        </w:rPr>
      </w:pPr>
    </w:p>
    <w:p>
      <w:pPr>
        <w:widowControl/>
        <w:pBdr>
          <w:top w:val="single" w:color="auto" w:sz="4" w:space="1"/>
          <w:left w:val="single" w:color="auto" w:sz="4" w:space="4"/>
          <w:bottom w:val="single" w:color="auto" w:sz="4" w:space="1"/>
          <w:right w:val="single" w:color="auto" w:sz="4" w:space="4"/>
        </w:pBdr>
        <w:shd w:val="clear" w:color="auto" w:fill="FFFF00"/>
        <w:spacing w:after="180"/>
        <w:jc w:val="center"/>
        <w:outlineLvl w:val="0"/>
        <w:rPr>
          <w:rFonts w:ascii="Arial" w:hAnsi="Arial" w:eastAsia="宋体" w:cs="Arial"/>
          <w:color w:val="FF0000"/>
          <w:kern w:val="0"/>
          <w:sz w:val="28"/>
          <w:szCs w:val="28"/>
        </w:rPr>
      </w:pPr>
      <w:r>
        <w:rPr>
          <w:rFonts w:ascii="Arial" w:hAnsi="Arial" w:eastAsia="宋体" w:cs="Arial"/>
          <w:color w:val="FF0000"/>
          <w:kern w:val="0"/>
          <w:sz w:val="28"/>
          <w:szCs w:val="28"/>
          <w:lang w:eastAsia="en-US"/>
        </w:rPr>
        <w:t xml:space="preserve">* * * * </w:t>
      </w:r>
      <w:r>
        <w:rPr>
          <w:rFonts w:ascii="Arial" w:hAnsi="Arial" w:eastAsia="宋体" w:cs="Arial"/>
          <w:color w:val="FF0000"/>
          <w:kern w:val="0"/>
          <w:sz w:val="28"/>
          <w:szCs w:val="28"/>
        </w:rPr>
        <w:t xml:space="preserve">End of changes </w:t>
      </w:r>
      <w:r>
        <w:rPr>
          <w:rFonts w:ascii="Arial" w:hAnsi="Arial" w:eastAsia="宋体" w:cs="Arial"/>
          <w:color w:val="FF0000"/>
          <w:kern w:val="0"/>
          <w:sz w:val="28"/>
          <w:szCs w:val="28"/>
          <w:lang w:eastAsia="en-US"/>
        </w:rPr>
        <w:t>* * * *</w:t>
      </w:r>
    </w:p>
    <w:p>
      <w:pPr>
        <w:widowControl/>
        <w:spacing w:after="180"/>
        <w:jc w:val="left"/>
        <w:rPr>
          <w:rFonts w:ascii="Times New Roman" w:hAnsi="Times New Roman" w:eastAsia="宋体" w:cs="Times New Roman"/>
          <w:kern w:val="0"/>
          <w:sz w:val="20"/>
          <w:szCs w:val="20"/>
          <w:lang w:val="en-GB" w:eastAsia="en-US"/>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293936"/>
    <w:multiLevelType w:val="multilevel"/>
    <w:tmpl w:val="26293936"/>
    <w:lvl w:ilvl="0" w:tentative="0">
      <w:start w:val="1"/>
      <w:numFmt w:val="decimal"/>
      <w:lvlText w:val="%1."/>
      <w:lvlJc w:val="left"/>
      <w:pPr>
        <w:ind w:left="460" w:hanging="360"/>
      </w:pPr>
      <w:rPr>
        <w:rFonts w:hint="default" w:ascii="Arial" w:hAnsi="Arial" w:eastAsia="宋体"/>
      </w:rPr>
    </w:lvl>
    <w:lvl w:ilvl="1" w:tentative="0">
      <w:start w:val="1"/>
      <w:numFmt w:val="lowerLetter"/>
      <w:lvlText w:val="%2)"/>
      <w:lvlJc w:val="left"/>
      <w:pPr>
        <w:ind w:left="980" w:hanging="440"/>
      </w:pPr>
    </w:lvl>
    <w:lvl w:ilvl="2" w:tentative="0">
      <w:start w:val="1"/>
      <w:numFmt w:val="lowerRoman"/>
      <w:lvlText w:val="%3."/>
      <w:lvlJc w:val="right"/>
      <w:pPr>
        <w:ind w:left="1420" w:hanging="440"/>
      </w:pPr>
    </w:lvl>
    <w:lvl w:ilvl="3" w:tentative="0">
      <w:start w:val="1"/>
      <w:numFmt w:val="decimal"/>
      <w:lvlText w:val="%4."/>
      <w:lvlJc w:val="left"/>
      <w:pPr>
        <w:ind w:left="1860" w:hanging="440"/>
      </w:pPr>
    </w:lvl>
    <w:lvl w:ilvl="4" w:tentative="0">
      <w:start w:val="1"/>
      <w:numFmt w:val="lowerLetter"/>
      <w:lvlText w:val="%5)"/>
      <w:lvlJc w:val="left"/>
      <w:pPr>
        <w:ind w:left="2300" w:hanging="440"/>
      </w:pPr>
    </w:lvl>
    <w:lvl w:ilvl="5" w:tentative="0">
      <w:start w:val="1"/>
      <w:numFmt w:val="lowerRoman"/>
      <w:lvlText w:val="%6."/>
      <w:lvlJc w:val="right"/>
      <w:pPr>
        <w:ind w:left="2740" w:hanging="440"/>
      </w:pPr>
    </w:lvl>
    <w:lvl w:ilvl="6" w:tentative="0">
      <w:start w:val="1"/>
      <w:numFmt w:val="decimal"/>
      <w:lvlText w:val="%7."/>
      <w:lvlJc w:val="left"/>
      <w:pPr>
        <w:ind w:left="3180" w:hanging="440"/>
      </w:pPr>
    </w:lvl>
    <w:lvl w:ilvl="7" w:tentative="0">
      <w:start w:val="1"/>
      <w:numFmt w:val="lowerLetter"/>
      <w:lvlText w:val="%8)"/>
      <w:lvlJc w:val="left"/>
      <w:pPr>
        <w:ind w:left="3620" w:hanging="440"/>
      </w:pPr>
    </w:lvl>
    <w:lvl w:ilvl="8" w:tentative="0">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yOWJmODgxZjk4Y2JmNWNhNThhYjM2OTRkNGM3ZWQifQ=="/>
  </w:docVars>
  <w:rsids>
    <w:rsidRoot w:val="00CE7FC0"/>
    <w:rsid w:val="000062BC"/>
    <w:rsid w:val="00034F95"/>
    <w:rsid w:val="00035BF0"/>
    <w:rsid w:val="00057967"/>
    <w:rsid w:val="000600E4"/>
    <w:rsid w:val="00063F29"/>
    <w:rsid w:val="00067C27"/>
    <w:rsid w:val="00090999"/>
    <w:rsid w:val="00093A6B"/>
    <w:rsid w:val="00094C9C"/>
    <w:rsid w:val="00096D6C"/>
    <w:rsid w:val="000A4CDA"/>
    <w:rsid w:val="000A6153"/>
    <w:rsid w:val="000C1D1E"/>
    <w:rsid w:val="000F0B70"/>
    <w:rsid w:val="000F1C42"/>
    <w:rsid w:val="000F4CAE"/>
    <w:rsid w:val="000F5ADB"/>
    <w:rsid w:val="001009A2"/>
    <w:rsid w:val="00103A08"/>
    <w:rsid w:val="00106F85"/>
    <w:rsid w:val="001117B3"/>
    <w:rsid w:val="00120FEB"/>
    <w:rsid w:val="001226A9"/>
    <w:rsid w:val="00132C9F"/>
    <w:rsid w:val="001409A4"/>
    <w:rsid w:val="00144FFB"/>
    <w:rsid w:val="001459D0"/>
    <w:rsid w:val="00163BC9"/>
    <w:rsid w:val="001708FE"/>
    <w:rsid w:val="00170EFB"/>
    <w:rsid w:val="001848AB"/>
    <w:rsid w:val="00185AD5"/>
    <w:rsid w:val="00194E34"/>
    <w:rsid w:val="00197926"/>
    <w:rsid w:val="001A0C90"/>
    <w:rsid w:val="001A58D0"/>
    <w:rsid w:val="001C18F4"/>
    <w:rsid w:val="001D47A8"/>
    <w:rsid w:val="001E077B"/>
    <w:rsid w:val="001E2A04"/>
    <w:rsid w:val="001E3A70"/>
    <w:rsid w:val="001F5BCD"/>
    <w:rsid w:val="00204FD7"/>
    <w:rsid w:val="00210334"/>
    <w:rsid w:val="00223EF5"/>
    <w:rsid w:val="0022437B"/>
    <w:rsid w:val="00230E53"/>
    <w:rsid w:val="00240C82"/>
    <w:rsid w:val="0024494B"/>
    <w:rsid w:val="00252FE2"/>
    <w:rsid w:val="00261E4A"/>
    <w:rsid w:val="00262A45"/>
    <w:rsid w:val="002A0FD5"/>
    <w:rsid w:val="002A40DE"/>
    <w:rsid w:val="002A47F2"/>
    <w:rsid w:val="002B1D44"/>
    <w:rsid w:val="002B6A01"/>
    <w:rsid w:val="002C1FB0"/>
    <w:rsid w:val="002C5792"/>
    <w:rsid w:val="002F0EBD"/>
    <w:rsid w:val="002F508E"/>
    <w:rsid w:val="00300C3C"/>
    <w:rsid w:val="00304F4B"/>
    <w:rsid w:val="003051FA"/>
    <w:rsid w:val="00333C1F"/>
    <w:rsid w:val="0034139E"/>
    <w:rsid w:val="003467A3"/>
    <w:rsid w:val="0035392E"/>
    <w:rsid w:val="003648B2"/>
    <w:rsid w:val="00384A52"/>
    <w:rsid w:val="00384CC7"/>
    <w:rsid w:val="003911F6"/>
    <w:rsid w:val="00392D78"/>
    <w:rsid w:val="00396F4B"/>
    <w:rsid w:val="003A25F2"/>
    <w:rsid w:val="003A47EE"/>
    <w:rsid w:val="003A5772"/>
    <w:rsid w:val="003B6737"/>
    <w:rsid w:val="003C2FE7"/>
    <w:rsid w:val="003C4FA5"/>
    <w:rsid w:val="003D1D72"/>
    <w:rsid w:val="003E412E"/>
    <w:rsid w:val="003E4815"/>
    <w:rsid w:val="003F27F8"/>
    <w:rsid w:val="00404EAD"/>
    <w:rsid w:val="0042442C"/>
    <w:rsid w:val="00441098"/>
    <w:rsid w:val="0044405E"/>
    <w:rsid w:val="0044512E"/>
    <w:rsid w:val="00446D80"/>
    <w:rsid w:val="00455288"/>
    <w:rsid w:val="0045640F"/>
    <w:rsid w:val="00463B41"/>
    <w:rsid w:val="0049472C"/>
    <w:rsid w:val="00497ADA"/>
    <w:rsid w:val="004A5491"/>
    <w:rsid w:val="004B3F69"/>
    <w:rsid w:val="004B5D1C"/>
    <w:rsid w:val="004C66AE"/>
    <w:rsid w:val="004D5790"/>
    <w:rsid w:val="004D582F"/>
    <w:rsid w:val="004D59E1"/>
    <w:rsid w:val="004E36EC"/>
    <w:rsid w:val="004F3040"/>
    <w:rsid w:val="004F7464"/>
    <w:rsid w:val="00517497"/>
    <w:rsid w:val="00517E90"/>
    <w:rsid w:val="00527A79"/>
    <w:rsid w:val="00541258"/>
    <w:rsid w:val="0056754F"/>
    <w:rsid w:val="00570AB8"/>
    <w:rsid w:val="00570CAF"/>
    <w:rsid w:val="0057607A"/>
    <w:rsid w:val="00576E56"/>
    <w:rsid w:val="005B2530"/>
    <w:rsid w:val="005B50FF"/>
    <w:rsid w:val="005D6005"/>
    <w:rsid w:val="005D712C"/>
    <w:rsid w:val="005E4D53"/>
    <w:rsid w:val="005E4E08"/>
    <w:rsid w:val="005E5E79"/>
    <w:rsid w:val="005F0273"/>
    <w:rsid w:val="005F49D9"/>
    <w:rsid w:val="00616ED3"/>
    <w:rsid w:val="00617263"/>
    <w:rsid w:val="00627AC6"/>
    <w:rsid w:val="006329AD"/>
    <w:rsid w:val="00634104"/>
    <w:rsid w:val="00643B18"/>
    <w:rsid w:val="006457C8"/>
    <w:rsid w:val="0064705D"/>
    <w:rsid w:val="00653D51"/>
    <w:rsid w:val="006575C8"/>
    <w:rsid w:val="00662893"/>
    <w:rsid w:val="00666B6A"/>
    <w:rsid w:val="0067660B"/>
    <w:rsid w:val="006A2213"/>
    <w:rsid w:val="006C37C4"/>
    <w:rsid w:val="006E4636"/>
    <w:rsid w:val="006E7EAC"/>
    <w:rsid w:val="00711442"/>
    <w:rsid w:val="007128EE"/>
    <w:rsid w:val="00714725"/>
    <w:rsid w:val="00722F9D"/>
    <w:rsid w:val="00727A0B"/>
    <w:rsid w:val="00731959"/>
    <w:rsid w:val="00735969"/>
    <w:rsid w:val="0074116F"/>
    <w:rsid w:val="0074329D"/>
    <w:rsid w:val="00746AED"/>
    <w:rsid w:val="00751248"/>
    <w:rsid w:val="00754E9F"/>
    <w:rsid w:val="00771240"/>
    <w:rsid w:val="007776A3"/>
    <w:rsid w:val="007902A2"/>
    <w:rsid w:val="007B2E99"/>
    <w:rsid w:val="007C1EDE"/>
    <w:rsid w:val="007C45B2"/>
    <w:rsid w:val="007D350D"/>
    <w:rsid w:val="007D39AE"/>
    <w:rsid w:val="007D4891"/>
    <w:rsid w:val="007E026A"/>
    <w:rsid w:val="007E4795"/>
    <w:rsid w:val="00807B64"/>
    <w:rsid w:val="008252DD"/>
    <w:rsid w:val="008558CD"/>
    <w:rsid w:val="00861D51"/>
    <w:rsid w:val="008658C8"/>
    <w:rsid w:val="00886D02"/>
    <w:rsid w:val="008974D2"/>
    <w:rsid w:val="008D1DCD"/>
    <w:rsid w:val="008E6088"/>
    <w:rsid w:val="008E796B"/>
    <w:rsid w:val="00914A74"/>
    <w:rsid w:val="00923B4E"/>
    <w:rsid w:val="0093046F"/>
    <w:rsid w:val="00937B6F"/>
    <w:rsid w:val="00940165"/>
    <w:rsid w:val="00944FD9"/>
    <w:rsid w:val="00950342"/>
    <w:rsid w:val="00964EFE"/>
    <w:rsid w:val="0097504F"/>
    <w:rsid w:val="009836B8"/>
    <w:rsid w:val="00994FF2"/>
    <w:rsid w:val="0099685D"/>
    <w:rsid w:val="009A5FBD"/>
    <w:rsid w:val="009B2319"/>
    <w:rsid w:val="009B2EFC"/>
    <w:rsid w:val="009B5C20"/>
    <w:rsid w:val="009C6B41"/>
    <w:rsid w:val="009E02F1"/>
    <w:rsid w:val="009E2F34"/>
    <w:rsid w:val="009E42F4"/>
    <w:rsid w:val="009E53CA"/>
    <w:rsid w:val="009F2901"/>
    <w:rsid w:val="00A0190F"/>
    <w:rsid w:val="00A03843"/>
    <w:rsid w:val="00A0702E"/>
    <w:rsid w:val="00A11280"/>
    <w:rsid w:val="00A120A0"/>
    <w:rsid w:val="00A331B4"/>
    <w:rsid w:val="00A35162"/>
    <w:rsid w:val="00A35F1F"/>
    <w:rsid w:val="00A55C70"/>
    <w:rsid w:val="00A60EF7"/>
    <w:rsid w:val="00A66B65"/>
    <w:rsid w:val="00A7449C"/>
    <w:rsid w:val="00A76E59"/>
    <w:rsid w:val="00A801BE"/>
    <w:rsid w:val="00A87926"/>
    <w:rsid w:val="00A91883"/>
    <w:rsid w:val="00A954DF"/>
    <w:rsid w:val="00A97EE6"/>
    <w:rsid w:val="00AE3934"/>
    <w:rsid w:val="00AF1AEA"/>
    <w:rsid w:val="00B115A8"/>
    <w:rsid w:val="00B317A8"/>
    <w:rsid w:val="00B35272"/>
    <w:rsid w:val="00B41AEC"/>
    <w:rsid w:val="00B42051"/>
    <w:rsid w:val="00B43D38"/>
    <w:rsid w:val="00B456E4"/>
    <w:rsid w:val="00B4639C"/>
    <w:rsid w:val="00B521F9"/>
    <w:rsid w:val="00B54B4E"/>
    <w:rsid w:val="00B622A2"/>
    <w:rsid w:val="00B704B6"/>
    <w:rsid w:val="00B70E7D"/>
    <w:rsid w:val="00B73A69"/>
    <w:rsid w:val="00B8277A"/>
    <w:rsid w:val="00B908AD"/>
    <w:rsid w:val="00B9319A"/>
    <w:rsid w:val="00BA23FD"/>
    <w:rsid w:val="00BB39E8"/>
    <w:rsid w:val="00BB7065"/>
    <w:rsid w:val="00BC4CC6"/>
    <w:rsid w:val="00BD20B4"/>
    <w:rsid w:val="00BE14BD"/>
    <w:rsid w:val="00BE5ED5"/>
    <w:rsid w:val="00BF189E"/>
    <w:rsid w:val="00BF5F94"/>
    <w:rsid w:val="00BF6512"/>
    <w:rsid w:val="00C151EE"/>
    <w:rsid w:val="00C23790"/>
    <w:rsid w:val="00C30E7B"/>
    <w:rsid w:val="00C33EF7"/>
    <w:rsid w:val="00C36F19"/>
    <w:rsid w:val="00C45257"/>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02F0B"/>
    <w:rsid w:val="00D122E7"/>
    <w:rsid w:val="00D15D26"/>
    <w:rsid w:val="00D17138"/>
    <w:rsid w:val="00D17DE9"/>
    <w:rsid w:val="00D303C0"/>
    <w:rsid w:val="00D31D5D"/>
    <w:rsid w:val="00D3514C"/>
    <w:rsid w:val="00D365E5"/>
    <w:rsid w:val="00D56190"/>
    <w:rsid w:val="00D62292"/>
    <w:rsid w:val="00D63B43"/>
    <w:rsid w:val="00D67565"/>
    <w:rsid w:val="00D67F34"/>
    <w:rsid w:val="00D71AA0"/>
    <w:rsid w:val="00D77651"/>
    <w:rsid w:val="00D84483"/>
    <w:rsid w:val="00DA4AF7"/>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76929"/>
    <w:rsid w:val="00E80B1B"/>
    <w:rsid w:val="00E859D5"/>
    <w:rsid w:val="00E86298"/>
    <w:rsid w:val="00E86CB8"/>
    <w:rsid w:val="00E97680"/>
    <w:rsid w:val="00EA1D60"/>
    <w:rsid w:val="00EA3C6C"/>
    <w:rsid w:val="00EB0E75"/>
    <w:rsid w:val="00EB34D9"/>
    <w:rsid w:val="00EC4990"/>
    <w:rsid w:val="00ED51B8"/>
    <w:rsid w:val="00EE7BBA"/>
    <w:rsid w:val="00EF070F"/>
    <w:rsid w:val="00EF1F46"/>
    <w:rsid w:val="00EF3D62"/>
    <w:rsid w:val="00EF711F"/>
    <w:rsid w:val="00F40225"/>
    <w:rsid w:val="00F43812"/>
    <w:rsid w:val="00F62E38"/>
    <w:rsid w:val="00F856CE"/>
    <w:rsid w:val="00F92C36"/>
    <w:rsid w:val="00F95AC7"/>
    <w:rsid w:val="00FA17EE"/>
    <w:rsid w:val="00FA1F40"/>
    <w:rsid w:val="00FA61E6"/>
    <w:rsid w:val="00FA6E00"/>
    <w:rsid w:val="00FB271E"/>
    <w:rsid w:val="00FC182B"/>
    <w:rsid w:val="00FC58DE"/>
    <w:rsid w:val="00FC7D7E"/>
    <w:rsid w:val="00FD3D00"/>
    <w:rsid w:val="00FE1EBE"/>
    <w:rsid w:val="00FF20D1"/>
    <w:rsid w:val="00FF2FA7"/>
    <w:rsid w:val="00FF72C9"/>
    <w:rsid w:val="0ED0003C"/>
    <w:rsid w:val="3FB7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8"/>
    <w:semiHidden/>
    <w:unhideWhenUsed/>
    <w:qFormat/>
    <w:uiPriority w:val="0"/>
    <w:pPr>
      <w:widowControl/>
      <w:overflowPunct w:val="0"/>
      <w:autoSpaceDE w:val="0"/>
      <w:autoSpaceDN w:val="0"/>
      <w:adjustRightInd w:val="0"/>
      <w:spacing w:before="180" w:after="180" w:line="240" w:lineRule="auto"/>
      <w:ind w:left="1134" w:hanging="1134"/>
      <w:jc w:val="left"/>
      <w:outlineLvl w:val="1"/>
    </w:pPr>
    <w:rPr>
      <w:rFonts w:ascii="Arial" w:hAnsi="Arial" w:eastAsia="宋体" w:cs="Times New Roman"/>
      <w:b w:val="0"/>
      <w:bCs w:val="0"/>
      <w:kern w:val="0"/>
      <w:sz w:val="32"/>
      <w:szCs w:val="20"/>
      <w:lang w:val="en-GB" w:eastAsia="en-GB"/>
    </w:rPr>
  </w:style>
  <w:style w:type="paragraph" w:styleId="4">
    <w:name w:val="heading 3"/>
    <w:basedOn w:val="1"/>
    <w:next w:val="1"/>
    <w:link w:val="35"/>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4"/>
    <w:semiHidden/>
    <w:unhideWhenUsed/>
    <w:qFormat/>
    <w:uiPriority w:val="9"/>
    <w:pPr>
      <w:keepNext/>
      <w:keepLines/>
      <w:spacing w:before="280" w:after="290" w:line="376" w:lineRule="auto"/>
      <w:outlineLvl w:val="4"/>
    </w:pPr>
    <w:rPr>
      <w:b/>
      <w:bCs/>
      <w:sz w:val="28"/>
      <w:szCs w:val="28"/>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7">
    <w:name w:val="annotation text"/>
    <w:basedOn w:val="1"/>
    <w:link w:val="24"/>
    <w:semiHidden/>
    <w:unhideWhenUsed/>
    <w:qFormat/>
    <w:uiPriority w:val="99"/>
    <w:pPr>
      <w:jc w:val="left"/>
    </w:pPr>
  </w:style>
  <w:style w:type="paragraph" w:styleId="8">
    <w:name w:val="List 2"/>
    <w:basedOn w:val="1"/>
    <w:semiHidden/>
    <w:unhideWhenUsed/>
    <w:qFormat/>
    <w:uiPriority w:val="99"/>
    <w:pPr>
      <w:ind w:left="100" w:leftChars="200" w:hanging="200" w:hangingChars="200"/>
      <w:contextualSpacing/>
    </w:pPr>
  </w:style>
  <w:style w:type="paragraph" w:styleId="9">
    <w:name w:val="Balloon Text"/>
    <w:basedOn w:val="1"/>
    <w:link w:val="23"/>
    <w:semiHidden/>
    <w:unhideWhenUsed/>
    <w:qFormat/>
    <w:uiPriority w:val="99"/>
    <w:rPr>
      <w:sz w:val="18"/>
      <w:szCs w:val="18"/>
    </w:rPr>
  </w:style>
  <w:style w:type="paragraph" w:styleId="10">
    <w:name w:val="footer"/>
    <w:basedOn w:val="1"/>
    <w:link w:val="17"/>
    <w:unhideWhenUsed/>
    <w:qFormat/>
    <w:uiPriority w:val="99"/>
    <w:pPr>
      <w:tabs>
        <w:tab w:val="center" w:pos="4153"/>
        <w:tab w:val="right" w:pos="8306"/>
      </w:tabs>
      <w:snapToGrid w:val="0"/>
      <w:jc w:val="left"/>
    </w:pPr>
    <w:rPr>
      <w:sz w:val="18"/>
      <w:szCs w:val="18"/>
    </w:rPr>
  </w:style>
  <w:style w:type="paragraph" w:styleId="11">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25"/>
    <w:semiHidden/>
    <w:unhideWhenUsed/>
    <w:uiPriority w:val="99"/>
    <w:rPr>
      <w:b/>
      <w:bCs/>
    </w:rPr>
  </w:style>
  <w:style w:type="character" w:styleId="15">
    <w:name w:val="annotation reference"/>
    <w:basedOn w:val="14"/>
    <w:semiHidden/>
    <w:unhideWhenUsed/>
    <w:uiPriority w:val="99"/>
    <w:rPr>
      <w:sz w:val="21"/>
      <w:szCs w:val="21"/>
    </w:rPr>
  </w:style>
  <w:style w:type="character" w:customStyle="1" w:styleId="16">
    <w:name w:val="页眉 字符"/>
    <w:basedOn w:val="14"/>
    <w:link w:val="11"/>
    <w:qFormat/>
    <w:uiPriority w:val="99"/>
    <w:rPr>
      <w:sz w:val="18"/>
      <w:szCs w:val="18"/>
    </w:rPr>
  </w:style>
  <w:style w:type="character" w:customStyle="1" w:styleId="17">
    <w:name w:val="页脚 字符"/>
    <w:basedOn w:val="14"/>
    <w:link w:val="10"/>
    <w:qFormat/>
    <w:uiPriority w:val="99"/>
    <w:rPr>
      <w:sz w:val="18"/>
      <w:szCs w:val="18"/>
    </w:rPr>
  </w:style>
  <w:style w:type="character" w:customStyle="1" w:styleId="18">
    <w:name w:val="标题 2 字符"/>
    <w:basedOn w:val="14"/>
    <w:link w:val="3"/>
    <w:semiHidden/>
    <w:qFormat/>
    <w:uiPriority w:val="0"/>
    <w:rPr>
      <w:rFonts w:ascii="Arial" w:hAnsi="Arial" w:eastAsia="宋体" w:cs="Times New Roman"/>
      <w:kern w:val="0"/>
      <w:sz w:val="32"/>
      <w:szCs w:val="20"/>
      <w:lang w:val="en-GB" w:eastAsia="en-GB"/>
    </w:rPr>
  </w:style>
  <w:style w:type="character" w:customStyle="1" w:styleId="19">
    <w:name w:val="标题 1 字符"/>
    <w:basedOn w:val="14"/>
    <w:link w:val="2"/>
    <w:qFormat/>
    <w:uiPriority w:val="9"/>
    <w:rPr>
      <w:b/>
      <w:bCs/>
      <w:kern w:val="44"/>
      <w:sz w:val="44"/>
      <w:szCs w:val="44"/>
    </w:rPr>
  </w:style>
  <w:style w:type="character" w:customStyle="1" w:styleId="20">
    <w:name w:val="B1 Char"/>
    <w:link w:val="21"/>
    <w:qFormat/>
    <w:locked/>
    <w:uiPriority w:val="0"/>
  </w:style>
  <w:style w:type="paragraph" w:customStyle="1" w:styleId="21">
    <w:name w:val="B1"/>
    <w:basedOn w:val="1"/>
    <w:link w:val="20"/>
    <w:uiPriority w:val="0"/>
    <w:pPr>
      <w:widowControl/>
      <w:overflowPunct w:val="0"/>
      <w:autoSpaceDE w:val="0"/>
      <w:autoSpaceDN w:val="0"/>
      <w:adjustRightInd w:val="0"/>
      <w:spacing w:after="180"/>
      <w:ind w:left="568" w:hanging="284"/>
      <w:jc w:val="left"/>
    </w:pPr>
  </w:style>
  <w:style w:type="paragraph" w:customStyle="1" w:styleId="22">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23">
    <w:name w:val="批注框文本 字符"/>
    <w:basedOn w:val="14"/>
    <w:link w:val="9"/>
    <w:semiHidden/>
    <w:qFormat/>
    <w:uiPriority w:val="99"/>
    <w:rPr>
      <w:sz w:val="18"/>
      <w:szCs w:val="18"/>
    </w:rPr>
  </w:style>
  <w:style w:type="character" w:customStyle="1" w:styleId="24">
    <w:name w:val="批注文字 字符"/>
    <w:basedOn w:val="14"/>
    <w:link w:val="7"/>
    <w:semiHidden/>
    <w:qFormat/>
    <w:uiPriority w:val="99"/>
  </w:style>
  <w:style w:type="character" w:customStyle="1" w:styleId="25">
    <w:name w:val="批注主题 字符"/>
    <w:basedOn w:val="24"/>
    <w:link w:val="12"/>
    <w:semiHidden/>
    <w:uiPriority w:val="99"/>
    <w:rPr>
      <w:b/>
      <w:bCs/>
    </w:rPr>
  </w:style>
  <w:style w:type="character" w:customStyle="1" w:styleId="26">
    <w:name w:val="标题 4 字符"/>
    <w:basedOn w:val="14"/>
    <w:link w:val="5"/>
    <w:qFormat/>
    <w:uiPriority w:val="0"/>
    <w:rPr>
      <w:rFonts w:asciiTheme="majorHAnsi" w:hAnsiTheme="majorHAnsi" w:eastAsiaTheme="majorEastAsia" w:cstheme="majorBidi"/>
      <w:b/>
      <w:bCs/>
      <w:sz w:val="28"/>
      <w:szCs w:val="28"/>
    </w:rPr>
  </w:style>
  <w:style w:type="paragraph" w:customStyle="1" w:styleId="27">
    <w:name w:val="NO"/>
    <w:basedOn w:val="1"/>
    <w:link w:val="28"/>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28">
    <w:name w:val="NO Char"/>
    <w:link w:val="27"/>
    <w:qFormat/>
    <w:uiPriority w:val="0"/>
    <w:rPr>
      <w:rFonts w:ascii="Times New Roman" w:hAnsi="Times New Roman" w:cs="Times New Roman"/>
      <w:kern w:val="0"/>
      <w:sz w:val="20"/>
      <w:szCs w:val="20"/>
      <w:lang w:val="en-GB" w:eastAsia="en-GB"/>
    </w:rPr>
  </w:style>
  <w:style w:type="paragraph" w:customStyle="1" w:styleId="29">
    <w:name w:val="B2"/>
    <w:basedOn w:val="8"/>
    <w:link w:val="30"/>
    <w:qFormat/>
    <w:uiPriority w:val="0"/>
    <w:pPr>
      <w:widowControl/>
      <w:overflowPunct w:val="0"/>
      <w:autoSpaceDE w:val="0"/>
      <w:autoSpaceDN w:val="0"/>
      <w:adjustRightInd w:val="0"/>
      <w:spacing w:after="180"/>
      <w:ind w:left="851" w:leftChars="0" w:hanging="284" w:firstLineChars="0"/>
      <w:contextualSpacing w:val="0"/>
      <w:jc w:val="left"/>
      <w:textAlignment w:val="baseline"/>
    </w:pPr>
    <w:rPr>
      <w:rFonts w:ascii="Times New Roman" w:hAnsi="Times New Roman" w:cs="Times New Roman"/>
      <w:kern w:val="0"/>
      <w:sz w:val="20"/>
      <w:szCs w:val="20"/>
      <w:lang w:val="en-GB" w:eastAsia="en-GB"/>
    </w:rPr>
  </w:style>
  <w:style w:type="character" w:customStyle="1" w:styleId="30">
    <w:name w:val="B2 Char"/>
    <w:link w:val="29"/>
    <w:qFormat/>
    <w:uiPriority w:val="0"/>
    <w:rPr>
      <w:rFonts w:ascii="Times New Roman" w:hAnsi="Times New Roman" w:cs="Times New Roman"/>
      <w:kern w:val="0"/>
      <w:sz w:val="20"/>
      <w:szCs w:val="20"/>
      <w:lang w:val="en-GB" w:eastAsia="en-GB"/>
    </w:rPr>
  </w:style>
  <w:style w:type="paragraph" w:customStyle="1" w:styleId="31">
    <w:name w:val="Editor's Note"/>
    <w:basedOn w:val="27"/>
    <w:link w:val="32"/>
    <w:qFormat/>
    <w:uiPriority w:val="0"/>
    <w:pPr>
      <w:ind w:left="1559" w:hanging="1276"/>
    </w:pPr>
    <w:rPr>
      <w:color w:val="FF0000"/>
    </w:rPr>
  </w:style>
  <w:style w:type="character" w:customStyle="1" w:styleId="32">
    <w:name w:val="Editor's Note Char"/>
    <w:link w:val="31"/>
    <w:qFormat/>
    <w:uiPriority w:val="0"/>
    <w:rPr>
      <w:rFonts w:ascii="Times New Roman" w:hAnsi="Times New Roman" w:cs="Times New Roman"/>
      <w:color w:val="FF0000"/>
      <w:kern w:val="0"/>
      <w:sz w:val="20"/>
      <w:szCs w:val="20"/>
      <w:lang w:val="en-GB" w:eastAsia="en-GB"/>
    </w:rPr>
  </w:style>
  <w:style w:type="paragraph" w:styleId="33">
    <w:name w:val="List Paragraph"/>
    <w:basedOn w:val="1"/>
    <w:qFormat/>
    <w:uiPriority w:val="34"/>
    <w:pPr>
      <w:ind w:firstLine="420" w:firstLineChars="200"/>
    </w:pPr>
  </w:style>
  <w:style w:type="character" w:customStyle="1" w:styleId="34">
    <w:name w:val="标题 5 字符"/>
    <w:basedOn w:val="14"/>
    <w:link w:val="6"/>
    <w:semiHidden/>
    <w:qFormat/>
    <w:uiPriority w:val="9"/>
    <w:rPr>
      <w:b/>
      <w:bCs/>
      <w:sz w:val="28"/>
      <w:szCs w:val="28"/>
    </w:rPr>
  </w:style>
  <w:style w:type="character" w:customStyle="1" w:styleId="35">
    <w:name w:val="标题 3 字符"/>
    <w:basedOn w:val="14"/>
    <w:link w:val="4"/>
    <w:semiHidden/>
    <w:uiPriority w:val="9"/>
    <w:rPr>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3057D-3BF4-42C3-BEAB-D5FE5331AD95}">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2464</Words>
  <Characters>14047</Characters>
  <Lines>117</Lines>
  <Paragraphs>32</Paragraphs>
  <TotalTime>91</TotalTime>
  <ScaleCrop>false</ScaleCrop>
  <LinksUpToDate>false</LinksUpToDate>
  <CharactersWithSpaces>16479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2023-09-21T08:39:00Z</dcterms:created>
  <dc:creator>佳琦</dc:creator>
  <cp:lastModifiedBy>siyang</cp:lastModifiedBy>
  <dcterms:modified xsi:type="dcterms:W3CDTF">2023-09-27T14:25:57Z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68230B946F8F4C749F87038640BA5CD9_12</vt:lpwstr>
  </property>
</Properties>
</file>